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94CEF" w14:textId="77777777" w:rsidR="00A847DA" w:rsidRDefault="00A847DA" w:rsidP="00A847DA">
      <w:pPr>
        <w:rPr>
          <w:b/>
          <w:bCs/>
        </w:rPr>
      </w:pPr>
      <w:r w:rsidRPr="00A847DA">
        <w:rPr>
          <w:b/>
          <w:bCs/>
        </w:rPr>
        <w:t>Facial Recognition Technology, Democracy and Human Rights</w:t>
      </w:r>
    </w:p>
    <w:p w14:paraId="7222FBAC" w14:textId="16831CF3" w:rsidR="00A847DA" w:rsidRPr="00A847DA" w:rsidRDefault="00A847DA" w:rsidP="00A847DA">
      <w:pPr>
        <w:rPr>
          <w:lang w:val="es-ES"/>
        </w:rPr>
      </w:pPr>
      <w:r w:rsidRPr="00A847DA">
        <w:rPr>
          <w:lang w:val="es-ES"/>
        </w:rPr>
        <w:t xml:space="preserve">Francesca Palmiotto, Natalia Menendez </w:t>
      </w:r>
      <w:proofErr w:type="spellStart"/>
      <w:r w:rsidRPr="00A847DA">
        <w:rPr>
          <w:lang w:val="es-ES"/>
        </w:rPr>
        <w:t>Gonzalez</w:t>
      </w:r>
      <w:proofErr w:type="spellEnd"/>
    </w:p>
    <w:p w14:paraId="2F693E3C" w14:textId="77777777" w:rsidR="00A847DA" w:rsidRPr="00A847DA" w:rsidRDefault="00A847DA" w:rsidP="00A847DA">
      <w:r w:rsidRPr="00A847DA">
        <w:t>ECtHR 4 July 2023, No. 11519/20, </w:t>
      </w:r>
      <w:proofErr w:type="spellStart"/>
      <w:r w:rsidRPr="00A847DA">
        <w:rPr>
          <w:i/>
          <w:iCs/>
        </w:rPr>
        <w:t>Glukhin</w:t>
      </w:r>
      <w:proofErr w:type="spellEnd"/>
      <w:r w:rsidRPr="00A847DA">
        <w:rPr>
          <w:i/>
          <w:iCs/>
        </w:rPr>
        <w:t xml:space="preserve"> v. Russia</w:t>
      </w:r>
    </w:p>
    <w:p w14:paraId="73855803" w14:textId="77777777" w:rsidR="00A847DA" w:rsidRPr="00A847DA" w:rsidRDefault="00A847DA" w:rsidP="00A847DA">
      <w:pPr>
        <w:rPr>
          <w:b/>
          <w:bCs/>
        </w:rPr>
      </w:pPr>
      <w:r w:rsidRPr="00A847DA">
        <w:rPr>
          <w:b/>
          <w:bCs/>
        </w:rPr>
        <w:t>Abstract</w:t>
      </w:r>
    </w:p>
    <w:p w14:paraId="5D8E7196" w14:textId="77777777" w:rsidR="00A847DA" w:rsidRPr="00A847DA" w:rsidRDefault="00A847DA" w:rsidP="00A847DA">
      <w:r w:rsidRPr="00A847DA">
        <w:t>Keywords: Facial Recognition Technology; Law Enforcement; Privacy; Freedom of expression; Human Rights; ECHR</w:t>
      </w:r>
    </w:p>
    <w:p w14:paraId="3CA86321" w14:textId="77777777" w:rsidR="00A847DA" w:rsidRPr="00A847DA" w:rsidRDefault="00A847DA" w:rsidP="00A847DA">
      <w:pPr>
        <w:rPr>
          <w:b/>
          <w:bCs/>
        </w:rPr>
      </w:pPr>
      <w:r w:rsidRPr="00A847DA">
        <w:t>Introduction</w:t>
      </w:r>
    </w:p>
    <w:p w14:paraId="22EFC873" w14:textId="77777777" w:rsidR="00A847DA" w:rsidRPr="00A847DA" w:rsidRDefault="00A847DA" w:rsidP="00A847DA">
      <w:r w:rsidRPr="00A847DA">
        <w:t>On 4 July 2023, the Third Section of the European Court of Human Rights (ECtHR) delivered the first</w:t>
      </w:r>
      <w:hyperlink r:id="rId4" w:anchor="ftnt1" w:history="1">
        <w:r w:rsidRPr="00A847DA">
          <w:rPr>
            <w:rStyle w:val="Hyperlink"/>
            <w:vertAlign w:val="superscript"/>
          </w:rPr>
          <w:t>[1]</w:t>
        </w:r>
      </w:hyperlink>
      <w:r w:rsidRPr="00A847DA">
        <w:t> judgment on the compatibility of facial recognition technology with human rights in </w:t>
      </w:r>
      <w:proofErr w:type="spellStart"/>
      <w:r w:rsidRPr="00A847DA">
        <w:rPr>
          <w:i/>
          <w:iCs/>
        </w:rPr>
        <w:t>Glukhin</w:t>
      </w:r>
      <w:proofErr w:type="spellEnd"/>
      <w:r w:rsidRPr="00A847DA">
        <w:rPr>
          <w:i/>
          <w:iCs/>
        </w:rPr>
        <w:t xml:space="preserve"> v. Russia</w:t>
      </w:r>
      <w:r w:rsidRPr="00A847DA">
        <w:t>.</w:t>
      </w:r>
      <w:hyperlink r:id="rId5" w:anchor="ftnt2" w:history="1">
        <w:r w:rsidRPr="00A847DA">
          <w:rPr>
            <w:rStyle w:val="Hyperlink"/>
            <w:vertAlign w:val="superscript"/>
          </w:rPr>
          <w:t>[2]</w:t>
        </w:r>
      </w:hyperlink>
      <w:r w:rsidRPr="00A847DA">
        <w:t xml:space="preserve"> The case concerned the use of facial recognition technology (FRT) against </w:t>
      </w:r>
      <w:proofErr w:type="spellStart"/>
      <w:r w:rsidRPr="00A847DA">
        <w:t>Mr</w:t>
      </w:r>
      <w:proofErr w:type="spellEnd"/>
      <w:r w:rsidRPr="00A847DA">
        <w:t xml:space="preserve"> </w:t>
      </w:r>
      <w:proofErr w:type="spellStart"/>
      <w:r w:rsidRPr="00A847DA">
        <w:t>Glukhin</w:t>
      </w:r>
      <w:proofErr w:type="spellEnd"/>
      <w:r w:rsidRPr="00A847DA">
        <w:t xml:space="preserve"> following his solo demonstration in the Moscow underground. The Court unanimously found a violation of Article 8 (right to respect for private life) and Article 10 (freedom of expression) of the European Convention of Human Rights (ECHR). Regarding FRT, the Court concluded that the use of highly intrusive technology is incompatible with the ideals and values of a democratic society governed by the rule of law. Within the current period </w:t>
      </w:r>
      <w:proofErr w:type="spellStart"/>
      <w:r w:rsidRPr="00A847DA">
        <w:t>characterised</w:t>
      </w:r>
      <w:proofErr w:type="spellEnd"/>
      <w:r w:rsidRPr="00A847DA">
        <w:t xml:space="preserve"> by an increasingly growing interest and scrutiny over the use of FRT by law enforcement,</w:t>
      </w:r>
      <w:hyperlink r:id="rId6" w:anchor="ftnt3" w:history="1">
        <w:r w:rsidRPr="00A847DA">
          <w:rPr>
            <w:rStyle w:val="Hyperlink"/>
            <w:vertAlign w:val="superscript"/>
          </w:rPr>
          <w:t>[3]</w:t>
        </w:r>
      </w:hyperlink>
      <w:r w:rsidRPr="00A847DA">
        <w:t xml:space="preserve"> this judgement sets the first stone for future jurisprudence, regulatory and policy efforts to </w:t>
      </w:r>
      <w:proofErr w:type="spellStart"/>
      <w:r w:rsidRPr="00A847DA">
        <w:t>operationalise</w:t>
      </w:r>
      <w:proofErr w:type="spellEnd"/>
      <w:r w:rsidRPr="00A847DA">
        <w:t xml:space="preserve"> what a proportional use of FRT by law enforcement entails.</w:t>
      </w:r>
    </w:p>
    <w:p w14:paraId="63E9A6FC" w14:textId="77777777" w:rsidR="00A847DA" w:rsidRPr="00A847DA" w:rsidRDefault="00A847DA" w:rsidP="00A847DA">
      <w:pPr>
        <w:rPr>
          <w:b/>
          <w:bCs/>
        </w:rPr>
      </w:pPr>
      <w:r w:rsidRPr="00A847DA">
        <w:t>Background of the case</w:t>
      </w:r>
    </w:p>
    <w:p w14:paraId="15B80F21" w14:textId="77777777" w:rsidR="00A847DA" w:rsidRPr="00A847DA" w:rsidRDefault="00A847DA" w:rsidP="00A847DA">
      <w:r w:rsidRPr="00A847DA">
        <w:t xml:space="preserve">On 23 August, </w:t>
      </w:r>
      <w:proofErr w:type="spellStart"/>
      <w:r w:rsidRPr="00A847DA">
        <w:t>Mr</w:t>
      </w:r>
      <w:proofErr w:type="spellEnd"/>
      <w:r w:rsidRPr="00A847DA">
        <w:t xml:space="preserve"> </w:t>
      </w:r>
      <w:proofErr w:type="spellStart"/>
      <w:r w:rsidRPr="00A847DA">
        <w:t>Glukhin</w:t>
      </w:r>
      <w:proofErr w:type="spellEnd"/>
      <w:r w:rsidRPr="00A847DA">
        <w:t xml:space="preserve"> travelled on the Moscow underground with a life-size cardboard of </w:t>
      </w:r>
      <w:proofErr w:type="spellStart"/>
      <w:r w:rsidRPr="00A847DA">
        <w:t>Mr</w:t>
      </w:r>
      <w:proofErr w:type="spellEnd"/>
      <w:r w:rsidRPr="00A847DA">
        <w:t xml:space="preserve"> Kotov, a political activist who was arrested and charged some days earlier, holding a banner saying: “You must be f**king kidding me. I’m Konstantin Kotov. I’m facing up to five years [in prison] for peaceful protests”. The applicant’s solo demonstration was not interrupted by the police. Only seven days later, on 30 August 2019, </w:t>
      </w:r>
      <w:proofErr w:type="spellStart"/>
      <w:r w:rsidRPr="00A847DA">
        <w:t>Mr</w:t>
      </w:r>
      <w:proofErr w:type="spellEnd"/>
      <w:r w:rsidRPr="00A847DA">
        <w:t xml:space="preserve"> </w:t>
      </w:r>
      <w:proofErr w:type="spellStart"/>
      <w:r w:rsidRPr="00A847DA">
        <w:t>Gluckhin</w:t>
      </w:r>
      <w:proofErr w:type="spellEnd"/>
      <w:r w:rsidRPr="00A847DA">
        <w:t xml:space="preserve"> was arrested while he was at an underground station and charged with an administrative offence for violating established procedures for the conduct of public events. The police were able to identify and locate him thanks to the use of facial recognition technology.</w:t>
      </w:r>
    </w:p>
    <w:p w14:paraId="512928F3" w14:textId="77777777" w:rsidR="00A847DA" w:rsidRPr="00A847DA" w:rsidRDefault="00A847DA" w:rsidP="00A847DA">
      <w:r w:rsidRPr="00A847DA">
        <w:br/>
        <w:t xml:space="preserve">More specifically, FRT was used by the Russian police anti-extremist unit in two ways. Firstly, they took screenshots from a public Telegram channel showing videos of the applicant holding the cardboard figure of </w:t>
      </w:r>
      <w:proofErr w:type="spellStart"/>
      <w:r w:rsidRPr="00A847DA">
        <w:t>Mr</w:t>
      </w:r>
      <w:proofErr w:type="spellEnd"/>
      <w:r w:rsidRPr="00A847DA">
        <w:t xml:space="preserve"> Kotov. They then obtained video recordings from CCTV cameras installed at two underground stations. Through the use of “post-remote” FRT,</w:t>
      </w:r>
      <w:hyperlink r:id="rId7" w:anchor="ftnt4" w:history="1">
        <w:r w:rsidRPr="00A847DA">
          <w:rPr>
            <w:rStyle w:val="Hyperlink"/>
            <w:vertAlign w:val="superscript"/>
          </w:rPr>
          <w:t>[4]</w:t>
        </w:r>
      </w:hyperlink>
      <w:r w:rsidRPr="00A847DA">
        <w:t xml:space="preserve"> the police successfully identified the applicant and established his home </w:t>
      </w:r>
      <w:r w:rsidRPr="00A847DA">
        <w:lastRenderedPageBreak/>
        <w:t>address. Secondly, after the police went to the applicant’s home and discovered that he was not there, they used  “live” FRT</w:t>
      </w:r>
      <w:hyperlink r:id="rId8" w:anchor="ftnt5" w:history="1">
        <w:r w:rsidRPr="00A847DA">
          <w:rPr>
            <w:rStyle w:val="Hyperlink"/>
            <w:vertAlign w:val="superscript"/>
          </w:rPr>
          <w:t>[5]</w:t>
        </w:r>
      </w:hyperlink>
      <w:r w:rsidRPr="00A847DA">
        <w:t> to identify the real-time location of the applicant in Moscow. The applicant was arrested on the same day while he was at an underground station. Although the Russian government never explicitly admitted their use of FRT,</w:t>
      </w:r>
      <w:hyperlink r:id="rId9" w:anchor="ftnt6" w:history="1">
        <w:r w:rsidRPr="00A847DA">
          <w:rPr>
            <w:rStyle w:val="Hyperlink"/>
            <w:vertAlign w:val="superscript"/>
          </w:rPr>
          <w:t>[6]</w:t>
        </w:r>
      </w:hyperlink>
      <w:r w:rsidRPr="00A847DA">
        <w:t> the Court accepted, in light of the particular circumstances of the case, that FRT was used.</w:t>
      </w:r>
      <w:hyperlink r:id="rId10" w:anchor="ftnt7" w:history="1">
        <w:r w:rsidRPr="00A847DA">
          <w:rPr>
            <w:rStyle w:val="Hyperlink"/>
            <w:vertAlign w:val="superscript"/>
          </w:rPr>
          <w:t>[7]</w:t>
        </w:r>
      </w:hyperlink>
    </w:p>
    <w:p w14:paraId="3314C274" w14:textId="77777777" w:rsidR="00A847DA" w:rsidRPr="00A847DA" w:rsidRDefault="00A847DA" w:rsidP="00A847DA">
      <w:r w:rsidRPr="00A847DA">
        <w:t xml:space="preserve">After the arrest, </w:t>
      </w:r>
      <w:proofErr w:type="spellStart"/>
      <w:r w:rsidRPr="00A847DA">
        <w:t>Mr</w:t>
      </w:r>
      <w:proofErr w:type="spellEnd"/>
      <w:r w:rsidRPr="00A847DA">
        <w:t xml:space="preserve"> </w:t>
      </w:r>
      <w:proofErr w:type="spellStart"/>
      <w:r w:rsidRPr="00A847DA">
        <w:t>Glukhin</w:t>
      </w:r>
      <w:proofErr w:type="spellEnd"/>
      <w:r w:rsidRPr="00A847DA">
        <w:t xml:space="preserve"> was charged and convicted in the administrative offence proceedings for failure to notify the authorities of his solo demonstration. Under Russian law, a notification for solo demonstrations is required where the demonstrator intends to use a “quickly (de)assembled object”,</w:t>
      </w:r>
      <w:hyperlink r:id="rId11" w:anchor="ftnt8" w:history="1">
        <w:r w:rsidRPr="00A847DA">
          <w:rPr>
            <w:rStyle w:val="Hyperlink"/>
            <w:vertAlign w:val="superscript"/>
          </w:rPr>
          <w:t>[8]</w:t>
        </w:r>
      </w:hyperlink>
      <w:r w:rsidRPr="00A847DA">
        <w:t xml:space="preserve">, i.e., the life-size cardboard of </w:t>
      </w:r>
      <w:proofErr w:type="spellStart"/>
      <w:r w:rsidRPr="00A847DA">
        <w:t>Mr</w:t>
      </w:r>
      <w:proofErr w:type="spellEnd"/>
      <w:r w:rsidRPr="00A847DA">
        <w:t xml:space="preserve"> Kotov. In the administrative proceedings, the judicial authorities relied on evidence provided by FRT, which identified the applicant from the screenshots of the Telegram channel and the video recordings from the surveillance cameras installed in the Moscow underground trains and stations.</w:t>
      </w:r>
    </w:p>
    <w:p w14:paraId="3E749D41" w14:textId="77777777" w:rsidR="00A847DA" w:rsidRPr="00A847DA" w:rsidRDefault="00A847DA" w:rsidP="00A847DA">
      <w:r w:rsidRPr="00A847DA">
        <w:t>The applicant appealed, complaining that the activities performed to identify him had been unlawful and the evidence obtained was, therefore, inadmissible. He also submitted that his conviction for a peaceful demonstration breached his right to freedom of expression, as it had not caused any risk to public order or to the life or health of others. The Moscow City Court upheld the conviction.</w:t>
      </w:r>
    </w:p>
    <w:p w14:paraId="1AC19A89" w14:textId="77777777" w:rsidR="00A847DA" w:rsidRPr="00A847DA" w:rsidRDefault="00A847DA" w:rsidP="00A847DA">
      <w:r w:rsidRPr="00A847DA">
        <w:t xml:space="preserve">After exhausting all internal remedies, </w:t>
      </w:r>
      <w:proofErr w:type="spellStart"/>
      <w:r w:rsidRPr="00A847DA">
        <w:t>Mr</w:t>
      </w:r>
      <w:proofErr w:type="spellEnd"/>
      <w:r w:rsidRPr="00A847DA">
        <w:t xml:space="preserve"> </w:t>
      </w:r>
      <w:proofErr w:type="spellStart"/>
      <w:r w:rsidRPr="00A847DA">
        <w:t>Glukhin</w:t>
      </w:r>
      <w:proofErr w:type="spellEnd"/>
      <w:r w:rsidRPr="00A847DA">
        <w:t xml:space="preserve"> lodged an application with the ECtHR in January 2020. The applicant complained that his administrative conviction and the use of FRT had breached his rights under Articles 8, 10 and 11 of the ECHR. He also complained </w:t>
      </w:r>
      <w:proofErr w:type="gramStart"/>
      <w:r w:rsidRPr="00A847DA">
        <w:t>that the proceeding</w:t>
      </w:r>
      <w:proofErr w:type="gramEnd"/>
      <w:r w:rsidRPr="00A847DA">
        <w:t xml:space="preserve"> against him </w:t>
      </w:r>
      <w:proofErr w:type="gramStart"/>
      <w:r w:rsidRPr="00A847DA">
        <w:t>was</w:t>
      </w:r>
      <w:proofErr w:type="gramEnd"/>
      <w:r w:rsidRPr="00A847DA">
        <w:t xml:space="preserve"> unfair, relying on Article 6 of the ECHR.</w:t>
      </w:r>
    </w:p>
    <w:p w14:paraId="10523E08" w14:textId="77777777" w:rsidR="00A847DA" w:rsidRPr="00A847DA" w:rsidRDefault="00A847DA" w:rsidP="00A847DA">
      <w:pPr>
        <w:rPr>
          <w:b/>
          <w:bCs/>
        </w:rPr>
      </w:pPr>
      <w:r w:rsidRPr="00A847DA">
        <w:rPr>
          <w:b/>
          <w:bCs/>
        </w:rPr>
        <w:t>The Judgment</w:t>
      </w:r>
    </w:p>
    <w:p w14:paraId="3E227E97" w14:textId="77777777" w:rsidR="00A847DA" w:rsidRPr="00A847DA" w:rsidRDefault="00A847DA" w:rsidP="00A847DA">
      <w:r w:rsidRPr="00A847DA">
        <w:t>The Court, firstly, declares to have still jurisdiction to examine the present case since the facts occurred before 16 September 2022, the date on which the Russian Federation ceased to be a party to the Convention.</w:t>
      </w:r>
      <w:hyperlink r:id="rId12" w:anchor="ftnt9" w:history="1">
        <w:r w:rsidRPr="00A847DA">
          <w:rPr>
            <w:rStyle w:val="Hyperlink"/>
            <w:vertAlign w:val="superscript"/>
          </w:rPr>
          <w:t>[9]</w:t>
        </w:r>
      </w:hyperlink>
      <w:r w:rsidRPr="00A847DA">
        <w:t> It then examined the case under Articles 10 and 8 of the ECHR.</w:t>
      </w:r>
    </w:p>
    <w:p w14:paraId="4C5F3DD9" w14:textId="77777777" w:rsidR="00A847DA" w:rsidRPr="00A847DA" w:rsidRDefault="00A847DA" w:rsidP="00A847DA">
      <w:r w:rsidRPr="00A847DA">
        <w:t xml:space="preserve">On the compatibility of the applicant’s conviction with the right to freedom of expression, the Court concluded that there had been a violation of Article 10 of the ECHR. </w:t>
      </w:r>
      <w:proofErr w:type="spellStart"/>
      <w:r w:rsidRPr="00A847DA">
        <w:t>Mr</w:t>
      </w:r>
      <w:proofErr w:type="spellEnd"/>
      <w:r w:rsidRPr="00A847DA">
        <w:t xml:space="preserve"> Glukhin, in his solo demonstration, sought to express his opinion on a matter of public interest, a conduct which is covered by Article 10.</w:t>
      </w:r>
      <w:hyperlink r:id="rId13" w:anchor="ftnt10" w:history="1">
        <w:r w:rsidRPr="00A847DA">
          <w:rPr>
            <w:rStyle w:val="Hyperlink"/>
            <w:vertAlign w:val="superscript"/>
          </w:rPr>
          <w:t>[10]</w:t>
        </w:r>
      </w:hyperlink>
      <w:r w:rsidRPr="00A847DA">
        <w:t xml:space="preserve"> The authorities’ activities, including escorting him to the police station, his arrest and conviction, constitute an interference with such right, which must be prescribed by law and necessary in a democratic society. In the case at stake, the Court found that the provisions in national law were not sufficiently foreseeable to meet the quality of law requirements under Article 10. Moreover, the </w:t>
      </w:r>
      <w:r w:rsidRPr="00A847DA">
        <w:lastRenderedPageBreak/>
        <w:t xml:space="preserve">national authorities and courts failed to </w:t>
      </w:r>
      <w:proofErr w:type="gramStart"/>
      <w:r w:rsidRPr="00A847DA">
        <w:t>adduce</w:t>
      </w:r>
      <w:proofErr w:type="gramEnd"/>
      <w:r w:rsidRPr="00A847DA">
        <w:t xml:space="preserve"> reasons to justify the interference as the demonstration was </w:t>
      </w:r>
      <w:proofErr w:type="gramStart"/>
      <w:r w:rsidRPr="00A847DA">
        <w:t>absolutely peaceful</w:t>
      </w:r>
      <w:proofErr w:type="gramEnd"/>
      <w:r w:rsidRPr="00A847DA">
        <w:t xml:space="preserve"> and non-disruptive. In the words of the Court, the only relevant consideration was “the need to punish unlawful conduct”.</w:t>
      </w:r>
      <w:hyperlink r:id="rId14" w:anchor="ftnt11" w:history="1">
        <w:r w:rsidRPr="00A847DA">
          <w:rPr>
            <w:rStyle w:val="Hyperlink"/>
            <w:vertAlign w:val="superscript"/>
          </w:rPr>
          <w:t>[11]</w:t>
        </w:r>
      </w:hyperlink>
    </w:p>
    <w:p w14:paraId="7CD4833F" w14:textId="77777777" w:rsidR="00A847DA" w:rsidRPr="00A847DA" w:rsidRDefault="00A847DA" w:rsidP="00A847DA">
      <w:r w:rsidRPr="00A847DA">
        <w:t xml:space="preserve">The Court then analyses the use of FRT under the right to </w:t>
      </w:r>
      <w:proofErr w:type="gramStart"/>
      <w:r w:rsidRPr="00A847DA">
        <w:t>respect for</w:t>
      </w:r>
      <w:proofErr w:type="gramEnd"/>
      <w:r w:rsidRPr="00A847DA">
        <w:t xml:space="preserve"> private life. The Court found that the processing of the applicant’s personal data with the use of FRT constituted an interference with his right under Article 8 of the ECHR. In line with its case law, the Court reiterated that the concept of “private life” also covers activities taking place in a public context, particularly when such processing involves any systematic or permanent record of pictures of an identified person.</w:t>
      </w:r>
      <w:hyperlink r:id="rId15" w:anchor="ftnt12" w:history="1">
        <w:r w:rsidRPr="00A847DA">
          <w:rPr>
            <w:rStyle w:val="Hyperlink"/>
            <w:vertAlign w:val="superscript"/>
          </w:rPr>
          <w:t>[12]</w:t>
        </w:r>
      </w:hyperlink>
      <w:r w:rsidRPr="00A847DA">
        <w:t> In the present case, the Court identifies three activities that interfered with the right to private life, namely 1) the collection and storing of the screenshots from a Telegram channel obtained through the monitoring of the Internet and of the videos obtained from CCTV cameras installed in the underground stations, coupled with the use of facial recognition to identify the applicant; 2) the use of live facial recognition applied to the CCTV cameras to locate the applicant in real-time and arrest him  and 3) the use of such material as evidence in the administrative-offence proceedings.</w:t>
      </w:r>
      <w:hyperlink r:id="rId16" w:anchor="ftnt13" w:history="1">
        <w:r w:rsidRPr="00A847DA">
          <w:rPr>
            <w:rStyle w:val="Hyperlink"/>
            <w:vertAlign w:val="superscript"/>
          </w:rPr>
          <w:t>[13]</w:t>
        </w:r>
      </w:hyperlink>
      <w:r w:rsidRPr="00A847DA">
        <w:t> </w:t>
      </w:r>
    </w:p>
    <w:p w14:paraId="7FBC0AC8" w14:textId="77777777" w:rsidR="00A847DA" w:rsidRPr="00A847DA" w:rsidRDefault="00A847DA" w:rsidP="00A847DA">
      <w:r w:rsidRPr="00A847DA">
        <w:t>The Court then proceeded with its proportionality test, assessing whether such interference was in accordance with the law, pursuing a legitimate aim and necessary in a democratic society. While the ECtHR accepted that the interference had a legal basis in domestic law (namely the Code of Administrative Offences, the Police Act and Decree No. 40), it considered whether it provided sufficient safeguards against abuses, especially since FRT was concerned. The Court noted that provisions in the national law were widely formulated. They generically referred to the processing of biometric data - including with the aid of FRT - in connection with “any judicial proceedings”.</w:t>
      </w:r>
      <w:hyperlink r:id="rId17" w:anchor="ftnt14" w:history="1">
        <w:r w:rsidRPr="00A847DA">
          <w:rPr>
            <w:rStyle w:val="Hyperlink"/>
            <w:vertAlign w:val="superscript"/>
          </w:rPr>
          <w:t>[14]</w:t>
        </w:r>
      </w:hyperlink>
      <w:r w:rsidRPr="00A847DA">
        <w:t xml:space="preserve"> Moreover, the law provided no limitations, restrictions or procedural safeguards, including supervisory control mechanisms or remedies for data subjects. </w:t>
      </w:r>
      <w:proofErr w:type="gramStart"/>
      <w:r w:rsidRPr="00A847DA">
        <w:t>In light of</w:t>
      </w:r>
      <w:proofErr w:type="gramEnd"/>
      <w:r w:rsidRPr="00A847DA">
        <w:t xml:space="preserve"> the lack of detailed rules and safeguards governing the use of FRT, the Court concluded that national law did not meet the quality of law requirement.</w:t>
      </w:r>
    </w:p>
    <w:p w14:paraId="6BF6A772" w14:textId="77777777" w:rsidR="00A847DA" w:rsidRPr="00A847DA" w:rsidRDefault="00A847DA" w:rsidP="00A847DA">
      <w:r w:rsidRPr="00A847DA">
        <w:t>Next, the Court assumed that the interference pursued the legitimate aim of the prevention of crime. It found, however, that the use of highly intrusive FRT to identify and arrest the applicant - who was holding a peaceful demonstration and prosecuted for an administrative offence - did not correspond to a “pressing social need”.</w:t>
      </w:r>
      <w:hyperlink r:id="rId18" w:anchor="ftnt15" w:history="1">
        <w:r w:rsidRPr="00A847DA">
          <w:rPr>
            <w:rStyle w:val="Hyperlink"/>
            <w:vertAlign w:val="superscript"/>
          </w:rPr>
          <w:t>[15]</w:t>
        </w:r>
      </w:hyperlink>
      <w:r w:rsidRPr="00A847DA">
        <w:t> Therefore, the Court concluded that:</w:t>
      </w:r>
    </w:p>
    <w:p w14:paraId="7082A5F0" w14:textId="77777777" w:rsidR="00A847DA" w:rsidRPr="00A847DA" w:rsidRDefault="00A847DA" w:rsidP="00A847DA">
      <w:r w:rsidRPr="00A847DA">
        <w:t xml:space="preserve">“The use of highly intrusive facial recognition technology in the context of the applicant exercising his Convention right to freedom of expression is incompatible with the ideals </w:t>
      </w:r>
      <w:r w:rsidRPr="00A847DA">
        <w:lastRenderedPageBreak/>
        <w:t>and values of a democratic society governed by the rule of law, which the Convention was designed to maintain and promote”.</w:t>
      </w:r>
      <w:hyperlink r:id="rId19" w:anchor="ftnt16" w:history="1">
        <w:r w:rsidRPr="00A847DA">
          <w:rPr>
            <w:rStyle w:val="Hyperlink"/>
            <w:vertAlign w:val="superscript"/>
          </w:rPr>
          <w:t>[16]</w:t>
        </w:r>
      </w:hyperlink>
    </w:p>
    <w:p w14:paraId="5F24ED2F" w14:textId="77777777" w:rsidR="00A847DA" w:rsidRPr="00A847DA" w:rsidRDefault="00A847DA" w:rsidP="00A847DA">
      <w:r w:rsidRPr="00A847DA">
        <w:t xml:space="preserve">Finally, given the findings under Articles 8 and 10 of the ECHR, the Court considered that there was no need to give a separate ruling on </w:t>
      </w:r>
      <w:proofErr w:type="spellStart"/>
      <w:r w:rsidRPr="00A847DA">
        <w:t>Mr</w:t>
      </w:r>
      <w:proofErr w:type="spellEnd"/>
      <w:r w:rsidRPr="00A847DA">
        <w:t xml:space="preserve"> Glukhin’s complaints under Article 6.</w:t>
      </w:r>
    </w:p>
    <w:p w14:paraId="26AC0DCD" w14:textId="77777777" w:rsidR="00A847DA" w:rsidRPr="00A847DA" w:rsidRDefault="00A847DA" w:rsidP="00A847DA">
      <w:pPr>
        <w:rPr>
          <w:b/>
          <w:bCs/>
        </w:rPr>
      </w:pPr>
      <w:r w:rsidRPr="00A847DA">
        <w:t>Comments</w:t>
      </w:r>
    </w:p>
    <w:p w14:paraId="319A3044" w14:textId="77777777" w:rsidR="00A847DA" w:rsidRPr="00A847DA" w:rsidRDefault="00A847DA" w:rsidP="00A847DA">
      <w:proofErr w:type="spellStart"/>
      <w:r w:rsidRPr="00A847DA">
        <w:rPr>
          <w:i/>
          <w:iCs/>
        </w:rPr>
        <w:t>Glukhin</w:t>
      </w:r>
      <w:proofErr w:type="spellEnd"/>
      <w:r w:rsidRPr="00A847DA">
        <w:rPr>
          <w:i/>
          <w:iCs/>
        </w:rPr>
        <w:t xml:space="preserve"> v. Russia</w:t>
      </w:r>
      <w:r w:rsidRPr="00A847DA">
        <w:t> sets the first tone, by a European Court, on the use of FRT by law enforcement authorities. The judgement focuses on the compatibility of such use with human rights, one of the main concerns pointed out by regulators,</w:t>
      </w:r>
      <w:hyperlink r:id="rId20" w:anchor="ftnt17" w:history="1">
        <w:r w:rsidRPr="00A847DA">
          <w:rPr>
            <w:rStyle w:val="Hyperlink"/>
            <w:vertAlign w:val="superscript"/>
          </w:rPr>
          <w:t>[17]</w:t>
        </w:r>
      </w:hyperlink>
      <w:r w:rsidRPr="00A847DA">
        <w:t> policy makers,</w:t>
      </w:r>
      <w:hyperlink r:id="rId21" w:anchor="ftnt18" w:history="1">
        <w:r w:rsidRPr="00A847DA">
          <w:rPr>
            <w:rStyle w:val="Hyperlink"/>
            <w:vertAlign w:val="superscript"/>
          </w:rPr>
          <w:t>[18]</w:t>
        </w:r>
      </w:hyperlink>
      <w:r w:rsidRPr="00A847DA">
        <w:t> data protection authorities,</w:t>
      </w:r>
      <w:hyperlink r:id="rId22" w:anchor="ftnt19" w:history="1">
        <w:r w:rsidRPr="00A847DA">
          <w:rPr>
            <w:rStyle w:val="Hyperlink"/>
            <w:vertAlign w:val="superscript"/>
          </w:rPr>
          <w:t>[19]</w:t>
        </w:r>
      </w:hyperlink>
      <w:r w:rsidRPr="00A847DA">
        <w:t> scholars</w:t>
      </w:r>
      <w:hyperlink r:id="rId23" w:anchor="ftnt20" w:history="1">
        <w:r w:rsidRPr="00A847DA">
          <w:rPr>
            <w:rStyle w:val="Hyperlink"/>
            <w:vertAlign w:val="superscript"/>
          </w:rPr>
          <w:t>[20]</w:t>
        </w:r>
      </w:hyperlink>
      <w:r w:rsidRPr="00A847DA">
        <w:t> and NGOs.</w:t>
      </w:r>
      <w:hyperlink r:id="rId24" w:anchor="ftnt21" w:history="1">
        <w:r w:rsidRPr="00A847DA">
          <w:rPr>
            <w:rStyle w:val="Hyperlink"/>
            <w:vertAlign w:val="superscript"/>
          </w:rPr>
          <w:t>[21]</w:t>
        </w:r>
      </w:hyperlink>
      <w:r w:rsidRPr="00A847DA">
        <w:t> The importance of this judgment cannot be understated, considering the current political and social context. With the EU currently immersed in the process of passing the EU AI Act (with biometric technologies being one of the main obstacles to reaching a deal)</w:t>
      </w:r>
      <w:hyperlink r:id="rId25" w:anchor="ftnt22" w:history="1">
        <w:r w:rsidRPr="00A847DA">
          <w:rPr>
            <w:rStyle w:val="Hyperlink"/>
            <w:vertAlign w:val="superscript"/>
          </w:rPr>
          <w:t>[22]</w:t>
        </w:r>
      </w:hyperlink>
      <w:r w:rsidRPr="00A847DA">
        <w:t> and the Council of Europe (</w:t>
      </w:r>
      <w:proofErr w:type="spellStart"/>
      <w:r w:rsidRPr="00A847DA">
        <w:t>CoE</w:t>
      </w:r>
      <w:proofErr w:type="spellEnd"/>
      <w:r w:rsidRPr="00A847DA">
        <w:t>) currently elaborating a legally binding instrument on the use of AI,</w:t>
      </w:r>
      <w:hyperlink r:id="rId26" w:anchor="ftnt23" w:history="1">
        <w:r w:rsidRPr="00A847DA">
          <w:rPr>
            <w:rStyle w:val="Hyperlink"/>
            <w:vertAlign w:val="superscript"/>
          </w:rPr>
          <w:t>[23]</w:t>
        </w:r>
      </w:hyperlink>
      <w:r w:rsidRPr="00A847DA">
        <w:t> this judgment can potentially influence the current European debate on the use of AI systems and FRT. </w:t>
      </w:r>
    </w:p>
    <w:p w14:paraId="033A5C6D" w14:textId="77777777" w:rsidR="00A847DA" w:rsidRPr="00A847DA" w:rsidRDefault="00A847DA" w:rsidP="00A847DA">
      <w:r w:rsidRPr="00A847DA">
        <w:t>More specifically,</w:t>
      </w:r>
      <w:r w:rsidRPr="00A847DA">
        <w:rPr>
          <w:i/>
          <w:iCs/>
        </w:rPr>
        <w:t> </w:t>
      </w:r>
      <w:r w:rsidRPr="00A847DA">
        <w:t>the judgment goes to the heart of key concerns surrounding the (ab)use of FRT as a tool of mass surveillance. First, the Court explicitly acknowledged that individuals may not be aware of being subject to surveillance technology, such as FRT.</w:t>
      </w:r>
      <w:hyperlink r:id="rId27" w:anchor="ftnt24" w:history="1">
        <w:r w:rsidRPr="00A847DA">
          <w:rPr>
            <w:rStyle w:val="Hyperlink"/>
            <w:vertAlign w:val="superscript"/>
          </w:rPr>
          <w:t>[24]</w:t>
        </w:r>
      </w:hyperlink>
      <w:r w:rsidRPr="00A847DA">
        <w:t> In </w:t>
      </w:r>
      <w:proofErr w:type="spellStart"/>
      <w:r w:rsidRPr="00A847DA">
        <w:rPr>
          <w:i/>
          <w:iCs/>
        </w:rPr>
        <w:t>Gluckhin</w:t>
      </w:r>
      <w:proofErr w:type="spellEnd"/>
      <w:r w:rsidRPr="00A847DA">
        <w:rPr>
          <w:i/>
          <w:iCs/>
        </w:rPr>
        <w:t xml:space="preserve"> v. Russia</w:t>
      </w:r>
      <w:r w:rsidRPr="00A847DA">
        <w:t>, the applicant could only presume that FRT was used in his case, as the domestic law did not require the police to record their use of FRT or notify individuals affected by it.</w:t>
      </w:r>
      <w:hyperlink r:id="rId28" w:anchor="ftnt25" w:history="1">
        <w:r w:rsidRPr="00A847DA">
          <w:rPr>
            <w:rStyle w:val="Hyperlink"/>
            <w:vertAlign w:val="superscript"/>
          </w:rPr>
          <w:t>[25]</w:t>
        </w:r>
      </w:hyperlink>
      <w:r w:rsidRPr="00A847DA">
        <w:t> At the same time, however, he was identified within “less than two days”</w:t>
      </w:r>
      <w:hyperlink r:id="rId29" w:anchor="ftnt26" w:history="1">
        <w:r w:rsidRPr="00A847DA">
          <w:rPr>
            <w:rStyle w:val="Hyperlink"/>
            <w:vertAlign w:val="superscript"/>
          </w:rPr>
          <w:t>[26]</w:t>
        </w:r>
      </w:hyperlink>
      <w:r w:rsidRPr="00A847DA">
        <w:t> after his demonstration and precisely located at the underground station after only one hour since the police did not find him in his house. In light of these circumstances, “it was not unreasonable for the applicant to assume that FRT had been used in his case”.</w:t>
      </w:r>
      <w:hyperlink r:id="rId30" w:anchor="ftnt27" w:history="1">
        <w:r w:rsidRPr="00A847DA">
          <w:rPr>
            <w:rStyle w:val="Hyperlink"/>
            <w:vertAlign w:val="superscript"/>
          </w:rPr>
          <w:t>[27]</w:t>
        </w:r>
      </w:hyperlink>
      <w:r w:rsidRPr="00A847DA">
        <w:t> Moreover, public information showed that Russia used FRT to identify participants in protest events in several cases.</w:t>
      </w:r>
      <w:hyperlink r:id="rId31" w:anchor="ftnt28" w:history="1">
        <w:r w:rsidRPr="00A847DA">
          <w:rPr>
            <w:rStyle w:val="Hyperlink"/>
            <w:vertAlign w:val="superscript"/>
          </w:rPr>
          <w:t>[28]</w:t>
        </w:r>
      </w:hyperlink>
      <w:r w:rsidRPr="00A847DA">
        <w:t> In the police reports, however, there is no trace or mention of the use of FRT.</w:t>
      </w:r>
    </w:p>
    <w:p w14:paraId="70F86C27" w14:textId="77777777" w:rsidR="00A847DA" w:rsidRPr="00A847DA" w:rsidRDefault="00A847DA" w:rsidP="00A847DA">
      <w:proofErr w:type="spellStart"/>
      <w:r w:rsidRPr="00A847DA">
        <w:rPr>
          <w:i/>
          <w:iCs/>
        </w:rPr>
        <w:t>Gluckhin</w:t>
      </w:r>
      <w:proofErr w:type="spellEnd"/>
      <w:r w:rsidRPr="00A847DA">
        <w:rPr>
          <w:i/>
          <w:iCs/>
        </w:rPr>
        <w:t xml:space="preserve"> v. Russia</w:t>
      </w:r>
      <w:r w:rsidRPr="00A847DA">
        <w:t>, therefore,</w:t>
      </w:r>
      <w:r w:rsidRPr="00A847DA">
        <w:rPr>
          <w:i/>
          <w:iCs/>
        </w:rPr>
        <w:t> </w:t>
      </w:r>
      <w:r w:rsidRPr="00A847DA">
        <w:t>raises the issue of how individuals can effectively challenge FRT and prove their allegations without evidence about its use. The Court acknowledged such difficulties for the applicant and concluded that the use of FRT can be “reasonably assumed” in light of the absence of other explanations for the rapid identification of the applicant and the implicit acknowledgement by the Government.</w:t>
      </w:r>
      <w:hyperlink r:id="rId32" w:anchor="ftnt29" w:history="1">
        <w:r w:rsidRPr="00A847DA">
          <w:rPr>
            <w:rStyle w:val="Hyperlink"/>
            <w:vertAlign w:val="superscript"/>
          </w:rPr>
          <w:t>[29]</w:t>
        </w:r>
      </w:hyperlink>
      <w:r w:rsidRPr="00A847DA">
        <w:t> The easing of the burden of proof on the applicant is an important achievement for the effective protection of human rights in the technological era, especially in the field of law enforcement, where transparency is severely impaired by the logic of secrecy to preserve investigations and national security.</w:t>
      </w:r>
      <w:hyperlink r:id="rId33" w:anchor="ftnt30" w:history="1">
        <w:r w:rsidRPr="00A847DA">
          <w:rPr>
            <w:rStyle w:val="Hyperlink"/>
            <w:vertAlign w:val="superscript"/>
          </w:rPr>
          <w:t>[30]</w:t>
        </w:r>
      </w:hyperlink>
    </w:p>
    <w:p w14:paraId="055A1AF8" w14:textId="77777777" w:rsidR="00A847DA" w:rsidRPr="00A847DA" w:rsidRDefault="00A847DA" w:rsidP="00A847DA">
      <w:r w:rsidRPr="00A847DA">
        <w:lastRenderedPageBreak/>
        <w:t>Second, the Court pointed to the high level of intrusiveness of FRT, particularly if “live”</w:t>
      </w:r>
      <w:hyperlink r:id="rId34" w:anchor="ftnt31" w:history="1">
        <w:r w:rsidRPr="00A847DA">
          <w:rPr>
            <w:rStyle w:val="Hyperlink"/>
            <w:vertAlign w:val="superscript"/>
          </w:rPr>
          <w:t>[31]</w:t>
        </w:r>
      </w:hyperlink>
      <w:r w:rsidRPr="00A847DA">
        <w:t> or when the processing of sensitive data, such as data revealing political opinions, is concerned.</w:t>
      </w:r>
      <w:hyperlink r:id="rId35" w:anchor="ftnt32" w:history="1">
        <w:r w:rsidRPr="00A847DA">
          <w:rPr>
            <w:rStyle w:val="Hyperlink"/>
            <w:vertAlign w:val="superscript"/>
          </w:rPr>
          <w:t>[32]</w:t>
        </w:r>
      </w:hyperlink>
      <w:r w:rsidRPr="00A847DA">
        <w:t> In these cases, a “heightened level of protection” is required.</w:t>
      </w:r>
      <w:hyperlink r:id="rId36" w:anchor="ftnt33" w:history="1">
        <w:r w:rsidRPr="00A847DA">
          <w:rPr>
            <w:rStyle w:val="Hyperlink"/>
            <w:vertAlign w:val="superscript"/>
          </w:rPr>
          <w:t>[33]</w:t>
        </w:r>
      </w:hyperlink>
      <w:r w:rsidRPr="00A847DA">
        <w:t> Such protection requires, in the Court’s view, that domestic law should contain clear, detailed rules and limitations on the nature of the situation that justify the use of FRT, their intended purpose, the categories of people that may be targeted and rules on the processing of sensitive data.</w:t>
      </w:r>
      <w:hyperlink r:id="rId37" w:anchor="ftnt34" w:history="1">
        <w:r w:rsidRPr="00A847DA">
          <w:rPr>
            <w:rStyle w:val="Hyperlink"/>
            <w:vertAlign w:val="superscript"/>
          </w:rPr>
          <w:t>[34]</w:t>
        </w:r>
      </w:hyperlink>
      <w:r w:rsidRPr="00A847DA">
        <w:t xml:space="preserve"> It should further contain procedural safeguards, including </w:t>
      </w:r>
      <w:proofErr w:type="spellStart"/>
      <w:r w:rsidRPr="00A847DA">
        <w:t>authorisation</w:t>
      </w:r>
      <w:proofErr w:type="spellEnd"/>
      <w:r w:rsidRPr="00A847DA">
        <w:t xml:space="preserve"> procedures, supervisory control mechanisms and available remedies.</w:t>
      </w:r>
      <w:hyperlink r:id="rId38" w:anchor="ftnt35" w:history="1">
        <w:r w:rsidRPr="00A847DA">
          <w:rPr>
            <w:rStyle w:val="Hyperlink"/>
            <w:vertAlign w:val="superscript"/>
          </w:rPr>
          <w:t>[35]</w:t>
        </w:r>
      </w:hyperlink>
      <w:r w:rsidRPr="00A847DA">
        <w:t> Finally, the Court set a high benchmark to assess whether the use of FRT can be considered necessary in a democratic society, with the “highest level of justification required for the use of live facial recognition technology”.</w:t>
      </w:r>
      <w:hyperlink r:id="rId39" w:anchor="ftnt36" w:history="1">
        <w:r w:rsidRPr="00A847DA">
          <w:rPr>
            <w:rStyle w:val="Hyperlink"/>
            <w:vertAlign w:val="superscript"/>
          </w:rPr>
          <w:t>[36]</w:t>
        </w:r>
      </w:hyperlink>
      <w:r w:rsidRPr="00A847DA">
        <w:t> The need for higher or highest standards of protection for the use of FRT  can be interpreted as a clear message for policymakers, especially within the current regulatory debate involving AI in general and FRT in particular.</w:t>
      </w:r>
    </w:p>
    <w:p w14:paraId="6CC95DCE" w14:textId="77777777" w:rsidR="00A847DA" w:rsidRPr="00A847DA" w:rsidRDefault="00A847DA" w:rsidP="00A847DA">
      <w:r w:rsidRPr="00A847DA">
        <w:t>It will be interesting to see how the notion of ‘pressing social need’ invoked by the Court to potentially justify the interference with the right to privacy fits the permitted uses of FRT under the proposal for an EU AI Act. The legislative proposal considers the use of biometric technologies in general high risk and it prohibits it in some cases</w:t>
      </w:r>
      <w:hyperlink r:id="rId40" w:anchor="ftnt37" w:history="1">
        <w:r w:rsidRPr="00A847DA">
          <w:rPr>
            <w:rStyle w:val="Hyperlink"/>
            <w:vertAlign w:val="superscript"/>
          </w:rPr>
          <w:t>[37]</w:t>
        </w:r>
      </w:hyperlink>
      <w:r w:rsidRPr="00A847DA">
        <w:t> and allows it with very few exceptions and subjected to several requirements in others.</w:t>
      </w:r>
      <w:hyperlink r:id="rId41" w:anchor="ftnt38" w:history="1">
        <w:r w:rsidRPr="00A847DA">
          <w:rPr>
            <w:rStyle w:val="Hyperlink"/>
            <w:vertAlign w:val="superscript"/>
          </w:rPr>
          <w:t>[38]</w:t>
        </w:r>
      </w:hyperlink>
      <w:r w:rsidRPr="00A847DA">
        <w:t> The list of uses allowed could be argued to obey to a pressing social need since the exceptions are mostly related to law enforcement. However, in line with the proportionality test, it can be argued whether FRT is the only possible solution, the </w:t>
      </w:r>
      <w:r w:rsidRPr="00A847DA">
        <w:rPr>
          <w:i/>
          <w:iCs/>
        </w:rPr>
        <w:t>less restrictive means,</w:t>
      </w:r>
      <w:r w:rsidRPr="00A847DA">
        <w:t> for such pressing social needs to be fulfilled or whether more traditional law enforcement techniques, less intrusive, would suffice.</w:t>
      </w:r>
    </w:p>
    <w:p w14:paraId="04208D25" w14:textId="77777777" w:rsidR="00A847DA" w:rsidRPr="00A847DA" w:rsidRDefault="00A847DA" w:rsidP="00A847DA">
      <w:r w:rsidRPr="00A847DA">
        <w:t>Finally, the judgment also focuses on the chilling effects of FRT on other human rights. </w:t>
      </w:r>
      <w:proofErr w:type="spellStart"/>
      <w:r w:rsidRPr="00A847DA">
        <w:rPr>
          <w:i/>
          <w:iCs/>
        </w:rPr>
        <w:t>Glukhin</w:t>
      </w:r>
      <w:proofErr w:type="spellEnd"/>
      <w:r w:rsidRPr="00A847DA">
        <w:rPr>
          <w:i/>
          <w:iCs/>
        </w:rPr>
        <w:t xml:space="preserve"> v. Russia </w:t>
      </w:r>
      <w:r w:rsidRPr="00A847DA">
        <w:t xml:space="preserve">is a paradigmatic judgement in this respect as FRT was used to identify and sanction a citizen for exercising their right to freedom of expression. Therefore, it is not only the technology's design that should be </w:t>
      </w:r>
      <w:proofErr w:type="gramStart"/>
      <w:r w:rsidRPr="00A847DA">
        <w:t>taken into account</w:t>
      </w:r>
      <w:proofErr w:type="gramEnd"/>
      <w:r w:rsidRPr="00A847DA">
        <w:t xml:space="preserve"> but the purposes these technologies serve. Along the same line, the use of FRT within the Xinjiang province in China to surveil and oppress people from the Uyghur ethnic minority has been highly controversial.</w:t>
      </w:r>
      <w:hyperlink r:id="rId42" w:anchor="ftnt39" w:history="1">
        <w:r w:rsidRPr="00A847DA">
          <w:rPr>
            <w:rStyle w:val="Hyperlink"/>
            <w:vertAlign w:val="superscript"/>
          </w:rPr>
          <w:t>[39]</w:t>
        </w:r>
      </w:hyperlink>
      <w:r w:rsidRPr="00A847DA">
        <w:t xml:space="preserve"> The decision makes a call on its paragraph 82 on the necessity of “detailed rules governing the scope and application of measures as well as strong safeguards against the risk of abuse and arbitrariness”. This seems to speak </w:t>
      </w:r>
      <w:proofErr w:type="gramStart"/>
      <w:r w:rsidRPr="00A847DA">
        <w:t>to</w:t>
      </w:r>
      <w:proofErr w:type="gramEnd"/>
      <w:r w:rsidRPr="00A847DA">
        <w:t xml:space="preserve"> the current regulatory scenario with both the EU and the Council of Europe working on the development of rules to govern the use of AI systems in general and FRT in particular. Whether these rules will follow the words of the ECtHR is soon to </w:t>
      </w:r>
      <w:proofErr w:type="gramStart"/>
      <w:r w:rsidRPr="00A847DA">
        <w:t>see</w:t>
      </w:r>
      <w:proofErr w:type="gramEnd"/>
      <w:r w:rsidRPr="00A847DA">
        <w:t xml:space="preserve">, but the ECtHR’s instruction focuses both on the scope and application (more in line with the proportionality </w:t>
      </w:r>
      <w:r w:rsidRPr="00A847DA">
        <w:lastRenderedPageBreak/>
        <w:t>test) and the risk of abuse and arbitrariness (more in line with the use of the technology), rather than the technology itself.</w:t>
      </w:r>
    </w:p>
    <w:p w14:paraId="6FD367BB" w14:textId="77777777" w:rsidR="00A847DA" w:rsidRPr="00A847DA" w:rsidRDefault="00A847DA" w:rsidP="00A847DA">
      <w:r w:rsidRPr="00A847DA">
        <w:t>While </w:t>
      </w:r>
      <w:proofErr w:type="spellStart"/>
      <w:r w:rsidRPr="00A847DA">
        <w:rPr>
          <w:i/>
          <w:iCs/>
        </w:rPr>
        <w:t>Gluckhin</w:t>
      </w:r>
      <w:proofErr w:type="spellEnd"/>
      <w:r w:rsidRPr="00A847DA">
        <w:rPr>
          <w:i/>
          <w:iCs/>
        </w:rPr>
        <w:t xml:space="preserve"> v. Russia</w:t>
      </w:r>
      <w:r w:rsidRPr="00A847DA">
        <w:t xml:space="preserve"> sheds light on crucial aspects of the relationship between FRT and human rights, it also leaves some important questions unanswered. First and foremost, even though the Court </w:t>
      </w:r>
      <w:proofErr w:type="spellStart"/>
      <w:r w:rsidRPr="00A847DA">
        <w:t>recognised</w:t>
      </w:r>
      <w:proofErr w:type="spellEnd"/>
      <w:r w:rsidRPr="00A847DA">
        <w:t xml:space="preserve"> FRT’s high intrusiveness level, it does not address whether this technology is inherently incompatible with Article 8 ECHR. In line with the landmark case </w:t>
      </w:r>
      <w:r w:rsidRPr="00A847DA">
        <w:rPr>
          <w:i/>
          <w:iCs/>
        </w:rPr>
        <w:t xml:space="preserve">S. and </w:t>
      </w:r>
      <w:proofErr w:type="spellStart"/>
      <w:r w:rsidRPr="00A847DA">
        <w:rPr>
          <w:i/>
          <w:iCs/>
        </w:rPr>
        <w:t>Marper</w:t>
      </w:r>
      <w:proofErr w:type="spellEnd"/>
      <w:r w:rsidRPr="00A847DA">
        <w:rPr>
          <w:i/>
          <w:iCs/>
        </w:rPr>
        <w:t xml:space="preserve"> v. UK</w:t>
      </w:r>
      <w:r w:rsidRPr="00A847DA">
        <w:t>,</w:t>
      </w:r>
      <w:hyperlink r:id="rId43" w:anchor="ftnt40" w:history="1">
        <w:r w:rsidRPr="00A847DA">
          <w:rPr>
            <w:rStyle w:val="Hyperlink"/>
            <w:vertAlign w:val="superscript"/>
          </w:rPr>
          <w:t>[40]</w:t>
        </w:r>
      </w:hyperlink>
      <w:r w:rsidRPr="00A847DA">
        <w:t> the Court explicitly stated:</w:t>
      </w:r>
    </w:p>
    <w:p w14:paraId="1C3F5FFB" w14:textId="77777777" w:rsidR="00A847DA" w:rsidRPr="00A847DA" w:rsidRDefault="00A847DA" w:rsidP="00A847DA">
      <w:r w:rsidRPr="00A847DA">
        <w:t>“The question is not whether the processing of biometric personal data by facial recognition technology may, in general, be regarded as justified under the Convention. The only issue to be considered by the Court is whether the processing of the applicant’s personal data was justified under Article 8§2 of the Convention </w:t>
      </w:r>
      <w:r w:rsidRPr="00A847DA">
        <w:rPr>
          <w:i/>
          <w:iCs/>
        </w:rPr>
        <w:t>in the present case</w:t>
      </w:r>
      <w:r w:rsidRPr="00A847DA">
        <w:t>” (emphasis added)</w:t>
      </w:r>
      <w:hyperlink r:id="rId44" w:anchor="ftnt41" w:history="1">
        <w:r w:rsidRPr="00A847DA">
          <w:rPr>
            <w:rStyle w:val="Hyperlink"/>
            <w:vertAlign w:val="superscript"/>
          </w:rPr>
          <w:t>[41]</w:t>
        </w:r>
      </w:hyperlink>
      <w:r w:rsidRPr="00A847DA">
        <w:t> </w:t>
      </w:r>
    </w:p>
    <w:p w14:paraId="4651DB27" w14:textId="77777777" w:rsidR="00A847DA" w:rsidRPr="00A847DA" w:rsidRDefault="00A847DA" w:rsidP="00A847DA">
      <w:r w:rsidRPr="00A847DA">
        <w:t xml:space="preserve">Although the Court explicitly delimits its analysis to the present case only, the judgment seems to swing between different positions. On the one hand, the Court acknowledges the importance of modern technologies for the prosecution of crimes, thus opening the door for justified use of FRT under the Convention, provided that strong safeguards are present. On the other hand, however, the Court clearly expresses serious concerns, especially </w:t>
      </w:r>
      <w:proofErr w:type="gramStart"/>
      <w:r w:rsidRPr="00A847DA">
        <w:t>with regard to</w:t>
      </w:r>
      <w:proofErr w:type="gramEnd"/>
      <w:r w:rsidRPr="00A847DA">
        <w:t xml:space="preserve"> the use of live FRT. The terminology used is a powerful one. The Court considers that “highly intrusive” FRT not only has chilling effects on other human rights,</w:t>
      </w:r>
      <w:hyperlink r:id="rId45" w:anchor="ftnt42" w:history="1">
        <w:r w:rsidRPr="00A847DA">
          <w:rPr>
            <w:rStyle w:val="Hyperlink"/>
            <w:vertAlign w:val="superscript"/>
          </w:rPr>
          <w:t>[42]</w:t>
        </w:r>
      </w:hyperlink>
      <w:r w:rsidRPr="00A847DA">
        <w:t> but also that it is incompatible with the “ideals” and “values” of a “democratic society” governed by the “rule of law”.</w:t>
      </w:r>
      <w:hyperlink r:id="rId46" w:anchor="ftnt43" w:history="1">
        <w:r w:rsidRPr="00A847DA">
          <w:rPr>
            <w:rStyle w:val="Hyperlink"/>
            <w:vertAlign w:val="superscript"/>
          </w:rPr>
          <w:t>[43]</w:t>
        </w:r>
      </w:hyperlink>
      <w:r w:rsidRPr="00A847DA">
        <w:t> Therefore, live FRT requires the “highest” level of justification.</w:t>
      </w:r>
      <w:hyperlink r:id="rId47" w:anchor="ftnt44" w:history="1">
        <w:r w:rsidRPr="00A847DA">
          <w:rPr>
            <w:rStyle w:val="Hyperlink"/>
            <w:vertAlign w:val="superscript"/>
          </w:rPr>
          <w:t>[44]</w:t>
        </w:r>
      </w:hyperlink>
    </w:p>
    <w:p w14:paraId="4D513F22" w14:textId="77777777" w:rsidR="00A847DA" w:rsidRPr="00A847DA" w:rsidRDefault="00A847DA" w:rsidP="00A847DA">
      <w:r w:rsidRPr="00A847DA">
        <w:t>Nonetheless, there is an elephant in the room that the Court did not see in </w:t>
      </w:r>
      <w:proofErr w:type="spellStart"/>
      <w:r w:rsidRPr="00A847DA">
        <w:rPr>
          <w:i/>
          <w:iCs/>
        </w:rPr>
        <w:t>Glukhin</w:t>
      </w:r>
      <w:proofErr w:type="spellEnd"/>
      <w:r w:rsidRPr="00A847DA">
        <w:rPr>
          <w:i/>
          <w:iCs/>
        </w:rPr>
        <w:t xml:space="preserve"> v. Russia.</w:t>
      </w:r>
      <w:r w:rsidRPr="00A847DA">
        <w:t> FRT is highly intrusive not only because of its functionalities (such as the ability to locate individuals in real-time) but also because it is intrinsically linked to mass surveillance practices. FRT needs personal data, images, videos, and CCTV cameras to function and be trained on. In other words, mass surveillance structures are the buttress that supports FRT. Consider that in Moscow, the number of CCTV cameras with incorporated FRT increased from 3,000 in 2017 to 220,000 in 2022. As FRT is intimately linked to surveillance practices,</w:t>
      </w:r>
      <w:hyperlink r:id="rId48" w:anchor="ftnt45" w:history="1">
        <w:r w:rsidRPr="00A847DA">
          <w:rPr>
            <w:rStyle w:val="Hyperlink"/>
            <w:vertAlign w:val="superscript"/>
          </w:rPr>
          <w:t>[45]</w:t>
        </w:r>
      </w:hyperlink>
      <w:r w:rsidRPr="00A847DA">
        <w:t> several NGOs have advocated posing a ban on live FRT.</w:t>
      </w:r>
      <w:hyperlink r:id="rId49" w:anchor="ftnt46" w:history="1">
        <w:r w:rsidRPr="00A847DA">
          <w:rPr>
            <w:rStyle w:val="Hyperlink"/>
            <w:vertAlign w:val="superscript"/>
          </w:rPr>
          <w:t>[46]</w:t>
        </w:r>
      </w:hyperlink>
      <w:r w:rsidRPr="00A847DA">
        <w:t> When considering the quality of law requirement under Article 8, the Court stated that domestic law must contain detailed and clear rules on, </w:t>
      </w:r>
      <w:r w:rsidRPr="00A847DA">
        <w:rPr>
          <w:i/>
          <w:iCs/>
        </w:rPr>
        <w:t>inter alia</w:t>
      </w:r>
      <w:r w:rsidRPr="00A847DA">
        <w:t xml:space="preserve">, the categories of people that may be targeted. While this safeguard may be effective for the use of post-remote FRT, the same does not hold true for facial recognition in real-time. In fact, live FRT is only possible with constant video surveillance of people in specific areas. In other words, it is impossible to </w:t>
      </w:r>
      <w:proofErr w:type="gramStart"/>
      <w:r w:rsidRPr="00A847DA">
        <w:t>delimit</w:t>
      </w:r>
      <w:proofErr w:type="gramEnd"/>
      <w:r w:rsidRPr="00A847DA">
        <w:t xml:space="preserve"> the bull’s eye of a technology that, by its nature, indiscriminately targets everyone.</w:t>
      </w:r>
    </w:p>
    <w:p w14:paraId="40EFDEA2" w14:textId="77777777" w:rsidR="00A847DA" w:rsidRPr="00A847DA" w:rsidRDefault="00A847DA" w:rsidP="00A847DA">
      <w:r w:rsidRPr="00A847DA">
        <w:lastRenderedPageBreak/>
        <w:t xml:space="preserve">A further consequence of the surveillance structure behind FRT is the paradigmatic change it brings to criminal investigation activities. Previously, police performed their activities and gathered evidence to corroborate or discharge their individual suspicions. With the use of FRT, every citizen is a suspect by default. Everybody is subject to live FRT, which allows knowing where one goes, with whom and when. In the case at hand, the Court acknowledged the potential benefits of FRT for the investigation of crimes while, at the same time, </w:t>
      </w:r>
      <w:proofErr w:type="spellStart"/>
      <w:r w:rsidRPr="00A847DA">
        <w:t>recognised</w:t>
      </w:r>
      <w:proofErr w:type="spellEnd"/>
      <w:r w:rsidRPr="00A847DA">
        <w:t xml:space="preserve"> the need for strong safeguards in the context of law enforcement. In this line, the Court pointed to the nature and gravity of the crime in assessing whether  the interference with the right to privacy was necessary in a democratic society.</w:t>
      </w:r>
      <w:hyperlink r:id="rId50" w:anchor="ftnt47" w:history="1">
        <w:r w:rsidRPr="00A847DA">
          <w:rPr>
            <w:rStyle w:val="Hyperlink"/>
            <w:vertAlign w:val="superscript"/>
          </w:rPr>
          <w:t>[47]</w:t>
        </w:r>
      </w:hyperlink>
      <w:r w:rsidRPr="00A847DA">
        <w:t> The Court, however, did not provide guidelines on what kind of crimes could justify the use of FRT in law enforcement.</w:t>
      </w:r>
    </w:p>
    <w:p w14:paraId="4D3CBA2D" w14:textId="77777777" w:rsidR="00A847DA" w:rsidRPr="00A847DA" w:rsidRDefault="00A847DA" w:rsidP="00A847DA">
      <w:r w:rsidRPr="00A847DA">
        <w:t>Nowadays, the use of FRT is widespread within borderline security scenarios such as in supermarkets</w:t>
      </w:r>
      <w:hyperlink r:id="rId51" w:anchor="ftnt48" w:history="1">
        <w:r w:rsidRPr="00A847DA">
          <w:rPr>
            <w:rStyle w:val="Hyperlink"/>
            <w:vertAlign w:val="superscript"/>
          </w:rPr>
          <w:t>[48]</w:t>
        </w:r>
      </w:hyperlink>
      <w:r w:rsidRPr="00A847DA">
        <w:t> or football stadiums.</w:t>
      </w:r>
      <w:hyperlink r:id="rId52" w:anchor="ftnt49" w:history="1">
        <w:r w:rsidRPr="00A847DA">
          <w:rPr>
            <w:rStyle w:val="Hyperlink"/>
            <w:vertAlign w:val="superscript"/>
          </w:rPr>
          <w:t>[49]</w:t>
        </w:r>
      </w:hyperlink>
      <w:r w:rsidRPr="00A847DA">
        <w:t> It is also reportedly being used by law enforcement to arrest burglars.</w:t>
      </w:r>
      <w:hyperlink r:id="rId53" w:anchor="ftnt50" w:history="1">
        <w:r w:rsidRPr="00A847DA">
          <w:rPr>
            <w:rStyle w:val="Hyperlink"/>
            <w:vertAlign w:val="superscript"/>
          </w:rPr>
          <w:t>[50]</w:t>
        </w:r>
      </w:hyperlink>
      <w:r w:rsidRPr="00A847DA">
        <w:t xml:space="preserve"> However, it is debatable whether such uses of FRT, taking into account the number of subjects who will be subjected to them and the number and severity of potential crimes that can help to prevent, can be considered necessary in a democratic society. Also, the nature of the crime will play a role in this respect. Can FRT be used to arrest suspects of crimes against property, or only when the criminal action goes against the life or integrity of people? The decision fails to </w:t>
      </w:r>
      <w:proofErr w:type="spellStart"/>
      <w:r w:rsidRPr="00A847DA">
        <w:t>operationalise</w:t>
      </w:r>
      <w:proofErr w:type="spellEnd"/>
      <w:r w:rsidRPr="00A847DA">
        <w:t xml:space="preserve"> further such questions that remain </w:t>
      </w:r>
      <w:proofErr w:type="gramStart"/>
      <w:r w:rsidRPr="00A847DA">
        <w:t>into</w:t>
      </w:r>
      <w:proofErr w:type="gramEnd"/>
      <w:r w:rsidRPr="00A847DA">
        <w:t xml:space="preserve"> the hands of national laws.</w:t>
      </w:r>
    </w:p>
    <w:p w14:paraId="2DBF3B92" w14:textId="77777777" w:rsidR="00A847DA" w:rsidRPr="00A847DA" w:rsidRDefault="00A847DA" w:rsidP="00A847DA">
      <w:r w:rsidRPr="00A847DA">
        <w:t>Fourth, the decision, citing </w:t>
      </w:r>
      <w:r w:rsidRPr="00A847DA">
        <w:rPr>
          <w:i/>
          <w:iCs/>
        </w:rPr>
        <w:t xml:space="preserve">S. and </w:t>
      </w:r>
      <w:proofErr w:type="spellStart"/>
      <w:r w:rsidRPr="00A847DA">
        <w:rPr>
          <w:i/>
          <w:iCs/>
        </w:rPr>
        <w:t>Marper</w:t>
      </w:r>
      <w:proofErr w:type="spellEnd"/>
      <w:r w:rsidRPr="00A847DA">
        <w:rPr>
          <w:i/>
          <w:iCs/>
        </w:rPr>
        <w:t xml:space="preserve"> v. UK</w:t>
      </w:r>
      <w:r w:rsidRPr="00A847DA">
        <w:t>, makes an emphasis on security requirements.</w:t>
      </w:r>
      <w:hyperlink r:id="rId54" w:anchor="ftnt51" w:history="1">
        <w:r w:rsidRPr="00A847DA">
          <w:rPr>
            <w:rStyle w:val="Hyperlink"/>
            <w:vertAlign w:val="superscript"/>
          </w:rPr>
          <w:t>[51]</w:t>
        </w:r>
      </w:hyperlink>
      <w:r w:rsidRPr="00A847DA">
        <w:t xml:space="preserve"> This is also in line with the EU proposal for an AI Act that also grants a great deal of importance to security. Further, in line with the EU AI Act, the Court points at the need to security governing rules but </w:t>
      </w:r>
      <w:proofErr w:type="gramStart"/>
      <w:r w:rsidRPr="00A847DA">
        <w:t>do</w:t>
      </w:r>
      <w:proofErr w:type="gramEnd"/>
      <w:r w:rsidRPr="00A847DA">
        <w:t xml:space="preserve"> not operationalize them. Neither the national law (at least the part of it referred within the decision) nor the Court discuss the FRT database specifications: who has </w:t>
      </w:r>
      <w:proofErr w:type="spellStart"/>
      <w:r w:rsidRPr="00A847DA">
        <w:t>acces</w:t>
      </w:r>
      <w:proofErr w:type="spellEnd"/>
      <w:r w:rsidRPr="00A847DA">
        <w:t xml:space="preserve"> to it, for how long, in which terms… The same </w:t>
      </w:r>
      <w:proofErr w:type="gramStart"/>
      <w:r w:rsidRPr="00A847DA">
        <w:t>occurs</w:t>
      </w:r>
      <w:proofErr w:type="gramEnd"/>
      <w:r w:rsidRPr="00A847DA">
        <w:t xml:space="preserve"> regarding the facial images of the claimant. The Court does not discuss whether they will be deleted or how long they will be kept on. It is true that maybe this is not the Court’s task to perform. However, </w:t>
      </w:r>
      <w:proofErr w:type="gramStart"/>
      <w:r w:rsidRPr="00A847DA">
        <w:t>as long as</w:t>
      </w:r>
      <w:proofErr w:type="gramEnd"/>
      <w:r w:rsidRPr="00A847DA">
        <w:t xml:space="preserve"> there are no sufficiently concrete regulations in place, the level of security of FRT and the data they process will be left in the hands of the industry and data security might be just another box to tick, irrespectively of the measures put in place to tick such a box. This could also be in line with the Court’s words regarding live FRT. Enhanced governance mechanisms for live FRT should also contemplate security measures. However, the Court does not </w:t>
      </w:r>
      <w:proofErr w:type="gramStart"/>
      <w:r w:rsidRPr="00A847DA">
        <w:t>either mention within the decision the security policy of the live FRT the claimant was subject to</w:t>
      </w:r>
      <w:proofErr w:type="gramEnd"/>
      <w:r w:rsidRPr="00A847DA">
        <w:t>.</w:t>
      </w:r>
    </w:p>
    <w:p w14:paraId="1C5D271C" w14:textId="77777777" w:rsidR="00A847DA" w:rsidRPr="00A847DA" w:rsidRDefault="00A847DA" w:rsidP="00A847DA">
      <w:r w:rsidRPr="00A847DA">
        <w:lastRenderedPageBreak/>
        <w:t xml:space="preserve">But probably the main criticism that can be wielded against the decision is that it missed a chance to address two key questions surrounding the use of FRT by law enforcement that </w:t>
      </w:r>
      <w:proofErr w:type="gramStart"/>
      <w:r w:rsidRPr="00A847DA">
        <w:t>have</w:t>
      </w:r>
      <w:proofErr w:type="gramEnd"/>
      <w:r w:rsidRPr="00A847DA">
        <w:t xml:space="preserve"> been haunting relevant stakeholders working on the topic. First, in defying the notion of “publicly available data” that can be used for FRT analysis. In the case at stake, photographs and a video published on a Telegram channel (the decision does not specify if the claimant upload them or they were upload by a third person, something that should be also </w:t>
      </w:r>
      <w:proofErr w:type="gramStart"/>
      <w:r w:rsidRPr="00A847DA">
        <w:t>taken into account</w:t>
      </w:r>
      <w:proofErr w:type="gramEnd"/>
      <w:r w:rsidRPr="00A847DA">
        <w:t xml:space="preserve"> regarding the “been made available”) were used to identify the claimant. Therefore, such data was used as an input for the FRT system. However, it is debatable whether such input data could be considered “publicly available”. According to the European Data Protection Board (EDPB),</w:t>
      </w:r>
      <w:hyperlink r:id="rId55" w:anchor="ftnt52" w:history="1">
        <w:r w:rsidRPr="00A847DA">
          <w:rPr>
            <w:rStyle w:val="Hyperlink"/>
            <w:vertAlign w:val="superscript"/>
          </w:rPr>
          <w:t>[52]</w:t>
        </w:r>
      </w:hyperlink>
      <w:r w:rsidRPr="00A847DA">
        <w:t> ‘the circumstances in each specific case have to be taken into account when assessing whether the data have manifestly been made public by the data subject.’ Further, the EDPB mentioned the Opinion by Article 29 Working Party on some key issues of the Law Enforcement Directive where they pointed out at the interpretation of the expression ‘manifestly made public by the data subject’ as ‘to imply that the data subject was aware that the respective data will be publicly available which means to everyone, including authorities; therefore, “In case of doubt, a narrow interpretation should be applied…”.’</w:t>
      </w:r>
      <w:hyperlink r:id="rId56" w:anchor="ftnt53" w:history="1">
        <w:r w:rsidRPr="00A847DA">
          <w:rPr>
            <w:rStyle w:val="Hyperlink"/>
            <w:vertAlign w:val="superscript"/>
          </w:rPr>
          <w:t>[53]</w:t>
        </w:r>
      </w:hyperlink>
      <w:r w:rsidRPr="00A847DA">
        <w:t> However, the case of social media pictures and videos (such as in the case object of this analysis) has always been a controversial one and it is at the core of the lawfulness of data-scrapping operations such as the ones performed by the FRT company Clearview AI.</w:t>
      </w:r>
      <w:hyperlink r:id="rId57" w:anchor="ftnt54" w:history="1">
        <w:r w:rsidRPr="00A847DA">
          <w:rPr>
            <w:rStyle w:val="Hyperlink"/>
            <w:vertAlign w:val="superscript"/>
          </w:rPr>
          <w:t>[54]</w:t>
        </w:r>
      </w:hyperlink>
      <w:r w:rsidRPr="00A847DA">
        <w:t> In this respect, a clear pronouncement from the Court on whether the social media pictures and videos (posted and not posted by the claimant) constituted data manifestly made public by the data subject would have entailed a great step forward regarding the use of facial images taken from social media by law enforcement authorities with the purpose to use FRT.</w:t>
      </w:r>
    </w:p>
    <w:p w14:paraId="3CB21332" w14:textId="77777777" w:rsidR="00A847DA" w:rsidRPr="00A847DA" w:rsidRDefault="00A847DA" w:rsidP="00A847DA">
      <w:r w:rsidRPr="00A847DA">
        <w:t xml:space="preserve">Second, the Court did not clarify the highly controversial notions of “general public interest”, “public interest” or “national security” that can justify the use of FRT. By further </w:t>
      </w:r>
      <w:proofErr w:type="spellStart"/>
      <w:r w:rsidRPr="00A847DA">
        <w:t>operationalising</w:t>
      </w:r>
      <w:proofErr w:type="spellEnd"/>
      <w:r w:rsidRPr="00A847DA">
        <w:t xml:space="preserve"> what such notions entail, at least within the case at hand, the Court would have opened a door for relevant stakeholders to </w:t>
      </w:r>
      <w:proofErr w:type="spellStart"/>
      <w:r w:rsidRPr="00A847DA">
        <w:t>analyse</w:t>
      </w:r>
      <w:proofErr w:type="spellEnd"/>
      <w:r w:rsidRPr="00A847DA">
        <w:t xml:space="preserve"> when exactly the use of FRT within the </w:t>
      </w:r>
      <w:proofErr w:type="gramStart"/>
      <w:r w:rsidRPr="00A847DA">
        <w:t>general public</w:t>
      </w:r>
      <w:proofErr w:type="gramEnd"/>
      <w:r w:rsidRPr="00A847DA">
        <w:t xml:space="preserve"> interest or for national security purposes is proportional. Up to today, such clauses have been wielded to justify unlawful uses of FRT.</w:t>
      </w:r>
      <w:hyperlink r:id="rId58" w:anchor="ftnt55" w:history="1">
        <w:r w:rsidRPr="00A847DA">
          <w:rPr>
            <w:rStyle w:val="Hyperlink"/>
            <w:vertAlign w:val="superscript"/>
          </w:rPr>
          <w:t>[55]</w:t>
        </w:r>
      </w:hyperlink>
      <w:r w:rsidRPr="00A847DA">
        <w:t xml:space="preserve"> Therefore, the Court in </w:t>
      </w:r>
      <w:proofErr w:type="spellStart"/>
      <w:r w:rsidRPr="00A847DA">
        <w:t>Glukhin</w:t>
      </w:r>
      <w:proofErr w:type="spellEnd"/>
      <w:r w:rsidRPr="00A847DA">
        <w:t xml:space="preserve"> v. Russia missed a great opportunity to set the first stone, at least regarding the use of FRT to monitor demonstrations or public protests, to pronounce on whether such use was justified under the public interest or national security and, if the case, under which conditions.</w:t>
      </w:r>
    </w:p>
    <w:p w14:paraId="16973D95" w14:textId="77777777" w:rsidR="00A847DA" w:rsidRPr="00A847DA" w:rsidRDefault="00A847DA" w:rsidP="00A847DA">
      <w:r w:rsidRPr="00A847DA">
        <w:t xml:space="preserve">Finally, a further question that remains answered is whether the evidence obtained in breach of Article 8 of the ECHR, such as the identification with FRT of the applicant, impairs the right to a fair trial under Article 6 ECHR. It should be noted that this case was </w:t>
      </w:r>
      <w:r w:rsidRPr="00A847DA">
        <w:lastRenderedPageBreak/>
        <w:t xml:space="preserve">only concerned with the compatibility of FRT with Article 8. The applicant invoked Article 6 only to complain about the lack of a prosecuting party. No allegations were made </w:t>
      </w:r>
      <w:proofErr w:type="gramStart"/>
      <w:r w:rsidRPr="00A847DA">
        <w:t>on</w:t>
      </w:r>
      <w:proofErr w:type="gramEnd"/>
      <w:r w:rsidRPr="00A847DA">
        <w:t xml:space="preserve"> the admissibility of evidence before the ECtHR. One may wonder, however, whether the Court will be able to take a step further from its case law,</w:t>
      </w:r>
      <w:hyperlink r:id="rId59" w:anchor="ftnt56" w:history="1">
        <w:r w:rsidRPr="00A847DA">
          <w:rPr>
            <w:rStyle w:val="Hyperlink"/>
            <w:vertAlign w:val="superscript"/>
          </w:rPr>
          <w:t>[56]</w:t>
        </w:r>
      </w:hyperlink>
      <w:r w:rsidRPr="00A847DA">
        <w:t> considering the pervasive use of new technologies to generate evidence in judicial proceedings.</w:t>
      </w:r>
      <w:hyperlink r:id="rId60" w:anchor="ftnt57" w:history="1">
        <w:r w:rsidRPr="00A847DA">
          <w:rPr>
            <w:rStyle w:val="Hyperlink"/>
            <w:vertAlign w:val="superscript"/>
          </w:rPr>
          <w:t>[57]</w:t>
        </w:r>
      </w:hyperlink>
    </w:p>
    <w:p w14:paraId="43223D7E" w14:textId="77777777" w:rsidR="00A847DA" w:rsidRPr="00A847DA" w:rsidRDefault="00A847DA" w:rsidP="00A847DA">
      <w:pPr>
        <w:rPr>
          <w:b/>
          <w:bCs/>
        </w:rPr>
      </w:pPr>
      <w:r w:rsidRPr="00A847DA">
        <w:t>Conclusions</w:t>
      </w:r>
    </w:p>
    <w:p w14:paraId="139DE5BD" w14:textId="77777777" w:rsidR="00A847DA" w:rsidRPr="00A847DA" w:rsidRDefault="00A847DA" w:rsidP="00A847DA">
      <w:proofErr w:type="spellStart"/>
      <w:r w:rsidRPr="00A847DA">
        <w:rPr>
          <w:i/>
          <w:iCs/>
        </w:rPr>
        <w:t>Glukhin</w:t>
      </w:r>
      <w:proofErr w:type="spellEnd"/>
      <w:r w:rsidRPr="00A847DA">
        <w:rPr>
          <w:i/>
          <w:iCs/>
        </w:rPr>
        <w:t xml:space="preserve"> v. Russia </w:t>
      </w:r>
      <w:r w:rsidRPr="00A847DA">
        <w:t xml:space="preserve">is a landmark judgment for the protection of human rights and democracy against the use of facial recognition technology. The Court unanimously found a violation of Article 8 ECHR and concluded that the use of highly intrusive technology is incompatible with the ideals and values of a democratic society governed by the rule of law. </w:t>
      </w:r>
      <w:proofErr w:type="gramStart"/>
      <w:r w:rsidRPr="00A847DA">
        <w:t>In order to</w:t>
      </w:r>
      <w:proofErr w:type="gramEnd"/>
      <w:r w:rsidRPr="00A847DA">
        <w:t xml:space="preserve"> be compatible with the right to a private life, the use of FRT requires a heightened level of protection in the domestic law and the “highest” level of justification, particularly when live FRT is concerned. This important message will likely influence the current regulatory debate at the European level.</w:t>
      </w:r>
    </w:p>
    <w:p w14:paraId="2B834AC5" w14:textId="77777777" w:rsidR="00A847DA" w:rsidRPr="00A847DA" w:rsidRDefault="00A847DA" w:rsidP="00A847DA">
      <w:r w:rsidRPr="00A847DA">
        <w:t>At the same time, however, </w:t>
      </w:r>
      <w:proofErr w:type="spellStart"/>
      <w:r w:rsidRPr="00A847DA">
        <w:rPr>
          <w:i/>
          <w:iCs/>
        </w:rPr>
        <w:t>Gluckhin</w:t>
      </w:r>
      <w:proofErr w:type="spellEnd"/>
      <w:r w:rsidRPr="00A847DA">
        <w:rPr>
          <w:i/>
          <w:iCs/>
        </w:rPr>
        <w:t xml:space="preserve"> v. Russia</w:t>
      </w:r>
      <w:r w:rsidRPr="00A847DA">
        <w:t xml:space="preserve"> was a clear-cut case. The analysis of the compatibility of FRT with Article 8 ECHR was straightforward: the legal basis in </w:t>
      </w:r>
      <w:proofErr w:type="gramStart"/>
      <w:r w:rsidRPr="00A847DA">
        <w:t>the domestic</w:t>
      </w:r>
      <w:proofErr w:type="gramEnd"/>
      <w:r w:rsidRPr="00A847DA">
        <w:t xml:space="preserve"> law did not provide any guarantee, and its wording was highly vague. Moreover, the aim of the measure interfering with the right to a private life was to bring charges for an administrative (not criminal) offence. In the years to come, the Court will be faced with more complex cases where the legitimate aim may be the prevention and prosecution of serious crimes, such as terrorism. Where will the Court draw the line between the legitimate aims of public authorities and the protection of the right to a private life? What will be considered the “highest justification” for live FRT? From </w:t>
      </w:r>
      <w:proofErr w:type="spellStart"/>
      <w:r w:rsidRPr="00A847DA">
        <w:rPr>
          <w:i/>
          <w:iCs/>
        </w:rPr>
        <w:t>Gluckhin</w:t>
      </w:r>
      <w:proofErr w:type="spellEnd"/>
      <w:r w:rsidRPr="00A847DA">
        <w:rPr>
          <w:i/>
          <w:iCs/>
        </w:rPr>
        <w:t xml:space="preserve"> v. Russia</w:t>
      </w:r>
      <w:r w:rsidRPr="00A847DA">
        <w:t>, it is uncertain how the Court will address these questions. What is certain is that societies will need the highest level of protection against the use of FRT.</w:t>
      </w:r>
    </w:p>
    <w:p w14:paraId="66D82980" w14:textId="77777777" w:rsidR="00A847DA" w:rsidRPr="00A847DA" w:rsidRDefault="00A847DA" w:rsidP="00A847DA">
      <w:pPr>
        <w:rPr>
          <w:b/>
          <w:bCs/>
        </w:rPr>
      </w:pPr>
      <w:r w:rsidRPr="00A847DA">
        <w:t>Relevant case law we could use in footnotes</w:t>
      </w:r>
    </w:p>
    <w:p w14:paraId="0DBD0DB6" w14:textId="77777777" w:rsidR="00A847DA" w:rsidRPr="00A847DA" w:rsidRDefault="00A847DA" w:rsidP="00A847DA">
      <w:proofErr w:type="spellStart"/>
      <w:r w:rsidRPr="00A847DA">
        <w:t>Shimovolos</w:t>
      </w:r>
      <w:proofErr w:type="spellEnd"/>
      <w:r w:rsidRPr="00A847DA">
        <w:t xml:space="preserve"> v. Russia 21 June 2011</w:t>
      </w:r>
    </w:p>
    <w:p w14:paraId="28C3BC69" w14:textId="77777777" w:rsidR="00A847DA" w:rsidRPr="00A847DA" w:rsidRDefault="00A847DA" w:rsidP="00A847DA">
      <w:r w:rsidRPr="00A847DA">
        <w:t> This case concerned the registration of a human rights activist in the so-called “surveillance database”, which collected information about his movements, by train or air, within Russia, and his arrest.  The Court held that there had been a violation of Article 8 (right to respect for private life) of the Convention. It observed that the creation and maintenance of the database and the procedure for its operation were governed by a ministerial order which had never been published or otherwise made accessible to the public.</w:t>
      </w:r>
    </w:p>
    <w:p w14:paraId="781FD1F2" w14:textId="77777777" w:rsidR="00A847DA" w:rsidRPr="00A847DA" w:rsidRDefault="00A847DA" w:rsidP="00A847DA">
      <w:r w:rsidRPr="00A847DA">
        <w:t xml:space="preserve">Szabó and </w:t>
      </w:r>
      <w:proofErr w:type="spellStart"/>
      <w:r w:rsidRPr="00A847DA">
        <w:t>Vissy</w:t>
      </w:r>
      <w:proofErr w:type="spellEnd"/>
      <w:r w:rsidRPr="00A847DA">
        <w:t xml:space="preserve"> v. Hungary 12 January 2016</w:t>
      </w:r>
    </w:p>
    <w:p w14:paraId="77C62DE4" w14:textId="77777777" w:rsidR="00A847DA" w:rsidRPr="00A847DA" w:rsidRDefault="00A847DA" w:rsidP="00A847DA">
      <w:r w:rsidRPr="00A847DA">
        <w:lastRenderedPageBreak/>
        <w:t xml:space="preserve"> This case concerned Hungarian legislation on secret anti-terrorist surveillance introduced in 2011. The applicants complained </w:t>
      </w:r>
      <w:proofErr w:type="gramStart"/>
      <w:r w:rsidRPr="00A847DA">
        <w:t>in particular that</w:t>
      </w:r>
      <w:proofErr w:type="gramEnd"/>
      <w:r w:rsidRPr="00A847DA">
        <w:t xml:space="preserve"> they could potentially be subjected to unjustified and disproportionately intrusive measures within the Hungarian legal framework on secret surveillance for national security purposes (namely, “section 7/E (3) surveillance”). They notably alleged that this legal framework was prone to abuse, notably for want of judicial control.  In this case the Court held that there had been a violation of Article 8 of the Convention. It accepted that it was a natural consequence of the forms taken by present-day terrorism that governments resort to cutting-edge technologies, including massive monitoring of communications, in pre-empting impending incidents. However, the Court was not convinced that the legislation in question provided sufficient safeguards to avoid abuse. Notably, the scope of the measures could include virtually anyone in Hungary, with new technologies enabling the Government to intercept masses of data easily concerning even persons outside the original range of operation.</w:t>
      </w:r>
    </w:p>
    <w:p w14:paraId="08DB8323" w14:textId="77777777" w:rsidR="00A847DA" w:rsidRPr="00A847DA" w:rsidRDefault="00A847DA" w:rsidP="00A847DA">
      <w:r w:rsidRPr="00A847DA">
        <w:rPr>
          <w:u w:val="single"/>
        </w:rPr>
        <w:t>Video surveillance</w:t>
      </w:r>
    </w:p>
    <w:p w14:paraId="68427A34" w14:textId="77777777" w:rsidR="00A847DA" w:rsidRPr="00A847DA" w:rsidRDefault="00A847DA" w:rsidP="00A847DA">
      <w:r w:rsidRPr="00A847DA">
        <w:t>Peck v. the United Kingdom 28 January 2003</w:t>
      </w:r>
    </w:p>
    <w:p w14:paraId="59570856" w14:textId="77777777" w:rsidR="00A847DA" w:rsidRPr="00A847DA" w:rsidRDefault="00A847DA" w:rsidP="00A847DA">
      <w:r w:rsidRPr="00A847DA">
        <w:t>In this case the applicant, who was suffering from depression, complained about the disclosure in the media of footage from a closed-circuit television (CCTV) camera mounted in the street showing him walking alone with a kitchen knife in his hand (he had subsequently attempted suicide by cutting his wrists, but the CCTV footage did not show this), which had resulted in images of himself being published and broadcast widely. He further complained of the lack of an effective domestic remedy in that regard. The Court found that the disclosure of the footage by the municipal council had not been accompanied by sufficient safeguards and constituted disproportionate and unjustified interference with the applicant’s private life, in breach of Article 8 (right to respect for private life) of the Convention. Furthermore, at the relevant time, the applicant had not had an effective remedy for breach of confidence, in violation of Article 13 (right to an effective remedy) read in conjunction with Article 8 of the Convention.</w:t>
      </w:r>
    </w:p>
    <w:p w14:paraId="7AE7B736" w14:textId="77777777" w:rsidR="00A847DA" w:rsidRPr="00A847DA" w:rsidRDefault="00A847DA" w:rsidP="00A847DA">
      <w:r w:rsidRPr="00A847DA">
        <w:t>Perry v. the United Kingdom 17 July 2003</w:t>
      </w:r>
    </w:p>
    <w:p w14:paraId="266C8901" w14:textId="77777777" w:rsidR="00A847DA" w:rsidRPr="00A847DA" w:rsidRDefault="00A847DA" w:rsidP="00A847DA">
      <w:r w:rsidRPr="00A847DA">
        <w:t xml:space="preserve">The applicant was arrested in connection with a series of armed robberies of mini-cab drivers and released pending an identification parade. When he failed to attend that and several further identification parades, the police requested permission to video him covertly. The applicant complained that the police had covertly videotaped him for identification purposes and used the videotape in the prosecution against him. The Court held that there had been a violation of Article 8 (right to respect for private life) of the Convention. It noted that there had been no indication that the applicant had had any </w:t>
      </w:r>
      <w:r w:rsidRPr="00A847DA">
        <w:lastRenderedPageBreak/>
        <w:t xml:space="preserve">expectation that footage would be taken of him in the police station for use in a video identification procedure and, potentially, as evidence prejudicial to his </w:t>
      </w:r>
      <w:proofErr w:type="spellStart"/>
      <w:r w:rsidRPr="00A847DA">
        <w:t>defence</w:t>
      </w:r>
      <w:proofErr w:type="spellEnd"/>
      <w:r w:rsidRPr="00A847DA">
        <w:t xml:space="preserve"> at trial. That ploy adopted by the police had gone beyond the normal use of this type of camera and amounted to an interference with the applicant’s right to respect for his private life. The interference in question had further not been in accordance with the law because the police had failed to comply with the procedures set out in the applicable code: they had not obtained the applicant’s consent or informed him that the tape was being made; neither had they informed him of his rights in that respect.</w:t>
      </w:r>
    </w:p>
    <w:p w14:paraId="2CD0C4E7" w14:textId="77777777" w:rsidR="00A847DA" w:rsidRPr="00A847DA" w:rsidRDefault="00A847DA" w:rsidP="00A847DA">
      <w:r w:rsidRPr="00A847DA">
        <w:pict w14:anchorId="2F651B69">
          <v:rect id="_x0000_i1031" style="width:190.55pt;height:.75pt" o:hrpct="0" o:hralign="center" o:hrstd="t" o:hr="t" fillcolor="#a0a0a0" stroked="f"/>
        </w:pict>
      </w:r>
    </w:p>
    <w:p w14:paraId="601EAE14" w14:textId="77777777" w:rsidR="00A847DA" w:rsidRPr="00A847DA" w:rsidRDefault="00A847DA" w:rsidP="00A847DA">
      <w:hyperlink r:id="rId61" w:anchor="ftnt_ref1" w:history="1">
        <w:r w:rsidRPr="00A847DA">
          <w:rPr>
            <w:rStyle w:val="Hyperlink"/>
          </w:rPr>
          <w:t>[1]</w:t>
        </w:r>
      </w:hyperlink>
      <w:r w:rsidRPr="00A847DA">
        <w:t> In </w:t>
      </w:r>
      <w:r w:rsidRPr="00A847DA">
        <w:rPr>
          <w:i/>
          <w:iCs/>
        </w:rPr>
        <w:t>Gaughran v. The United Kingdom</w:t>
      </w:r>
      <w:r w:rsidRPr="00A847DA">
        <w:t> App no 45245/15 (ECtHR, 13 June 2020) para 37, the Court found that the UK’s police ability to upload the facial images of the claimant ‘from forces’ local custody IT systems onto the Police National Database (‘PND’)’ from which they could be enrolled in ‘the facial recognition gallery making them searchable using facial recognition software’ constituted a violation of Article 8 of the Convention.</w:t>
      </w:r>
    </w:p>
    <w:p w14:paraId="14091F24" w14:textId="77777777" w:rsidR="00A847DA" w:rsidRPr="00A847DA" w:rsidRDefault="00A847DA" w:rsidP="00A847DA">
      <w:hyperlink r:id="rId62" w:anchor="ftnt_ref2" w:history="1">
        <w:r w:rsidRPr="00A847DA">
          <w:rPr>
            <w:rStyle w:val="Hyperlink"/>
          </w:rPr>
          <w:t>[2]</w:t>
        </w:r>
      </w:hyperlink>
      <w:r w:rsidRPr="00A847DA">
        <w:t> </w:t>
      </w:r>
      <w:proofErr w:type="spellStart"/>
      <w:r w:rsidRPr="00A847DA">
        <w:rPr>
          <w:i/>
          <w:iCs/>
        </w:rPr>
        <w:t>Glukhin</w:t>
      </w:r>
      <w:proofErr w:type="spellEnd"/>
      <w:r w:rsidRPr="00A847DA">
        <w:rPr>
          <w:i/>
          <w:iCs/>
        </w:rPr>
        <w:t xml:space="preserve"> v. Russia</w:t>
      </w:r>
      <w:r w:rsidRPr="00A847DA">
        <w:t> App no 11519/20 (ECtHR, 4 July 2023). Under Articles 43 and 44 of the European Convention of Human Rights, this judgment is not final. Parties have a three-month period following its delivery to request the case to be referred to the Grand Chamber of the European Court of Human Rights.</w:t>
      </w:r>
    </w:p>
    <w:p w14:paraId="3CFC74CE" w14:textId="77777777" w:rsidR="00A847DA" w:rsidRPr="00A847DA" w:rsidRDefault="00A847DA" w:rsidP="00A847DA">
      <w:hyperlink r:id="rId63" w:anchor="ftnt_ref3" w:history="1">
        <w:r w:rsidRPr="00A847DA">
          <w:rPr>
            <w:rStyle w:val="Hyperlink"/>
          </w:rPr>
          <w:t>[3]</w:t>
        </w:r>
      </w:hyperlink>
      <w:r w:rsidRPr="00A847DA">
        <w:t xml:space="preserve"> The use of FRT by law enforcement is currently the object of several debates at different stakeholders’ </w:t>
      </w:r>
      <w:proofErr w:type="gramStart"/>
      <w:r w:rsidRPr="00A847DA">
        <w:t>level</w:t>
      </w:r>
      <w:proofErr w:type="gramEnd"/>
      <w:r w:rsidRPr="00A847DA">
        <w:t xml:space="preserve"> within the EU and worldwide. See, as an example, A. Lodie, S. Celis Juarez, AI-Assisted Security at </w:t>
      </w:r>
      <w:proofErr w:type="gramStart"/>
      <w:r w:rsidRPr="00A847DA">
        <w:t>the Paris</w:t>
      </w:r>
      <w:proofErr w:type="gramEnd"/>
    </w:p>
    <w:p w14:paraId="3C19DCAD" w14:textId="77777777" w:rsidR="00A847DA" w:rsidRPr="00A847DA" w:rsidRDefault="00A847DA" w:rsidP="00A847DA">
      <w:r w:rsidRPr="00A847DA">
        <w:t xml:space="preserve">2024 Olympic Games: From Facial Recognition to Smart Video, AI-Regulation.com, January 27th, 2023; European Data Protection Board, Guidelines 05/2022 on the use of facial recognition technology in the area of law enforcement Version 2.0 Adopted on 26 April 2023; Conseil </w:t>
      </w:r>
      <w:proofErr w:type="spellStart"/>
      <w:r w:rsidRPr="00A847DA">
        <w:t>d’Etat</w:t>
      </w:r>
      <w:proofErr w:type="spellEnd"/>
      <w:r w:rsidRPr="00A847DA">
        <w:t xml:space="preserve">, </w:t>
      </w:r>
      <w:proofErr w:type="spellStart"/>
      <w:r w:rsidRPr="00A847DA">
        <w:t>Décision</w:t>
      </w:r>
      <w:proofErr w:type="spellEnd"/>
      <w:r w:rsidRPr="00A847DA">
        <w:t xml:space="preserve"> n° 442364, 26 April 2022 that deemed the </w:t>
      </w:r>
      <w:proofErr w:type="spellStart"/>
      <w:r w:rsidRPr="00A847DA">
        <w:t>the</w:t>
      </w:r>
      <w:proofErr w:type="spellEnd"/>
      <w:r w:rsidRPr="00A847DA">
        <w:t xml:space="preserve"> use of FRT by law enforcement agencies to support criminal investigations “strictly necessary” and proportional; ‘Facial-Recognition Ban Gets Lawmakers’ Backing in AI Act Vote’ (POLITICO, 11 May 2023) &lt;https://www.politico.eu/article/meps-adopt-ai-act-text-in-committees/&gt; accessed 14 July 2023 and Lisa O’Carroll, ‘French Court’s Approval of Olympics AI Surveillance Plan Fuels Privacy Concerns’ The Guardian (18 May 2023) &lt;https://www.theguardian.com/world/2023/may/18/french-courts-approval-of-olympics-ai-surveillance-plan-fuels-privacy-concerns&gt; accessed 14 July 2023.</w:t>
      </w:r>
    </w:p>
    <w:p w14:paraId="4733AA85" w14:textId="77777777" w:rsidR="00A847DA" w:rsidRPr="00A847DA" w:rsidRDefault="00A847DA" w:rsidP="00A847DA">
      <w:hyperlink r:id="rId64" w:anchor="ftnt_ref4" w:history="1">
        <w:r w:rsidRPr="00A847DA">
          <w:rPr>
            <w:rStyle w:val="Hyperlink"/>
          </w:rPr>
          <w:t>[4]</w:t>
        </w:r>
      </w:hyperlink>
      <w:r w:rsidRPr="00A847DA">
        <w:t xml:space="preserve"> The term “post-remote” FRT refers to “systems other than ‘real-time’ ones” (Article 3(38) Proposal for a REGULATION OF THE EUROPEAN PARLIAMENT AND OF THE COUNCIL LAYING DOWN HARMONISED RULES ON ARTIFICIAL INTELLIGENCE (ARTIFICIAL </w:t>
      </w:r>
      <w:r w:rsidRPr="00A847DA">
        <w:lastRenderedPageBreak/>
        <w:t>INTELLIGENCE ACT) AND AMENDING CERTAIN UNION LEGISLATIVE ACTS COM/2021/206 final) This entails ‘systems enabling capture of biometric data and comparison and identification processes to run after a significant delay.’ (European Parliament. Directorate General for Parliamentary Research Services., Regulating Facial Recognition in the EU: In Depth Analysis. (Publications Office 2021) 25 &lt;https://data.europa.eu/doi/10.2861/140928&gt; accessed 2 July 2023.</w:t>
      </w:r>
      <w:proofErr w:type="gramStart"/>
      <w:r w:rsidRPr="00A847DA">
        <w:t>) ”</w:t>
      </w:r>
      <w:proofErr w:type="gramEnd"/>
    </w:p>
    <w:p w14:paraId="242189B5" w14:textId="77777777" w:rsidR="00A847DA" w:rsidRPr="00A847DA" w:rsidRDefault="00A847DA" w:rsidP="00A847DA">
      <w:hyperlink r:id="rId65" w:anchor="ftnt_ref5" w:history="1">
        <w:r w:rsidRPr="00A847DA">
          <w:rPr>
            <w:rStyle w:val="Hyperlink"/>
          </w:rPr>
          <w:t>[5]</w:t>
        </w:r>
      </w:hyperlink>
      <w:r w:rsidRPr="00A847DA">
        <w:t xml:space="preserve"> The term “live” FRT refers to the fact that “the capturing of biometric data, the comparison and the identification all occur without a significant delay. This comprises not only instant </w:t>
      </w:r>
      <w:proofErr w:type="gramStart"/>
      <w:r w:rsidRPr="00A847DA">
        <w:t>identification, but</w:t>
      </w:r>
      <w:proofErr w:type="gramEnd"/>
      <w:r w:rsidRPr="00A847DA">
        <w:t xml:space="preserve"> also limited short delays </w:t>
      </w:r>
      <w:proofErr w:type="gramStart"/>
      <w:r w:rsidRPr="00A847DA">
        <w:t>in order to</w:t>
      </w:r>
      <w:proofErr w:type="gramEnd"/>
      <w:r w:rsidRPr="00A847DA">
        <w:t xml:space="preserve"> avoid circumvention.” (Article 3(37) Proposal for a REGULATION OF THE EUROPEAN PARLIAMENT AND OF THE COUNCIL LAYING DOWN HARMONISED RULES ON ARTIFICIAL INTELLIGENCE (ARTIFICIAL INTELLIGENCE ACT) AND AMENDING CERTAIN UNION LEGISLATIVE ACTS COM/2021/206 final)</w:t>
      </w:r>
    </w:p>
    <w:p w14:paraId="35ACB2FB" w14:textId="77777777" w:rsidR="00A847DA" w:rsidRPr="00A847DA" w:rsidRDefault="00A847DA" w:rsidP="00A847DA">
      <w:pPr>
        <w:rPr>
          <w:lang w:val="es-ES"/>
        </w:rPr>
      </w:pPr>
      <w:hyperlink r:id="rId66" w:anchor="ftnt_ref6" w:history="1">
        <w:r w:rsidRPr="00A847DA">
          <w:rPr>
            <w:rStyle w:val="Hyperlink"/>
            <w:lang w:val="es-ES"/>
          </w:rPr>
          <w:t>[6]</w:t>
        </w:r>
      </w:hyperlink>
      <w:r w:rsidRPr="00A847DA">
        <w:rPr>
          <w:lang w:val="es-ES"/>
        </w:rPr>
        <w:t> </w:t>
      </w:r>
      <w:proofErr w:type="spellStart"/>
      <w:r w:rsidRPr="00A847DA">
        <w:rPr>
          <w:lang w:val="es-ES"/>
        </w:rPr>
        <w:t>Glukhin</w:t>
      </w:r>
      <w:proofErr w:type="spellEnd"/>
      <w:r w:rsidRPr="00A847DA">
        <w:rPr>
          <w:lang w:val="es-ES"/>
        </w:rPr>
        <w:t xml:space="preserve"> v. Russia (n 2), para 69.</w:t>
      </w:r>
    </w:p>
    <w:p w14:paraId="3D5B12F0" w14:textId="77777777" w:rsidR="00A847DA" w:rsidRPr="00A847DA" w:rsidRDefault="00A847DA" w:rsidP="00A847DA">
      <w:pPr>
        <w:rPr>
          <w:lang w:val="es-ES"/>
        </w:rPr>
      </w:pPr>
      <w:hyperlink r:id="rId67" w:anchor="ftnt_ref7" w:history="1">
        <w:r w:rsidRPr="00A847DA">
          <w:rPr>
            <w:rStyle w:val="Hyperlink"/>
            <w:lang w:val="es-ES"/>
          </w:rPr>
          <w:t>[7]</w:t>
        </w:r>
      </w:hyperlink>
      <w:r w:rsidRPr="00A847DA">
        <w:rPr>
          <w:lang w:val="es-ES"/>
        </w:rPr>
        <w:t> </w:t>
      </w:r>
      <w:proofErr w:type="spellStart"/>
      <w:r w:rsidRPr="00A847DA">
        <w:rPr>
          <w:lang w:val="es-ES"/>
        </w:rPr>
        <w:t>Ibid</w:t>
      </w:r>
      <w:proofErr w:type="spellEnd"/>
      <w:r w:rsidRPr="00A847DA">
        <w:rPr>
          <w:lang w:val="es-ES"/>
        </w:rPr>
        <w:t xml:space="preserve"> para 72.</w:t>
      </w:r>
    </w:p>
    <w:p w14:paraId="69F24D2A" w14:textId="77777777" w:rsidR="00A847DA" w:rsidRPr="00A847DA" w:rsidRDefault="00A847DA" w:rsidP="00A847DA">
      <w:r w:rsidRPr="00A847DA">
        <w:t xml:space="preserve">Such systems were reported to be used by the Russian government within the context of the COVID-19 health emergency to detect quarantine violations, see Menéndez González, Natalia "‘Brave New (Normal) World’: Can the COVID-19 Emergency Serve as an Excuse to Increase the Surveillance State with Facial Recognition </w:t>
      </w:r>
      <w:proofErr w:type="gramStart"/>
      <w:r w:rsidRPr="00A847DA">
        <w:t>Technology?.</w:t>
      </w:r>
      <w:proofErr w:type="gramEnd"/>
      <w:r w:rsidRPr="00A847DA">
        <w:t xml:space="preserve">" Sovereignty, Technology and Governance after COVID-19: Legal Challenges in </w:t>
      </w:r>
      <w:proofErr w:type="gramStart"/>
      <w:r w:rsidRPr="00A847DA">
        <w:t xml:space="preserve">a </w:t>
      </w:r>
      <w:proofErr w:type="spellStart"/>
      <w:r w:rsidRPr="00A847DA">
        <w:t>PostPandemic</w:t>
      </w:r>
      <w:proofErr w:type="spellEnd"/>
      <w:proofErr w:type="gramEnd"/>
      <w:r w:rsidRPr="00A847DA">
        <w:t xml:space="preserve"> Europe. Ed. Francisco de Abreu Duarte and Francesca Palmiotto Ettorre. Oxford: Hart Publishing, 2022. 119–136. Bloomsbury Collections. Web. 2 Jul. 2023. &lt;http:// dx.doi.org/10.5040/9781509956012.ch-007&gt;.</w:t>
      </w:r>
    </w:p>
    <w:p w14:paraId="0F872525" w14:textId="77777777" w:rsidR="00A847DA" w:rsidRPr="00A847DA" w:rsidRDefault="00A847DA" w:rsidP="00A847DA">
      <w:hyperlink r:id="rId68" w:anchor="ftnt_ref8" w:history="1">
        <w:r w:rsidRPr="00A847DA">
          <w:rPr>
            <w:rStyle w:val="Hyperlink"/>
          </w:rPr>
          <w:t>[8]</w:t>
        </w:r>
      </w:hyperlink>
      <w:r w:rsidRPr="00A847DA">
        <w:t> </w:t>
      </w:r>
      <w:proofErr w:type="spellStart"/>
      <w:r w:rsidRPr="00A847DA">
        <w:t>Glukhin</w:t>
      </w:r>
      <w:proofErr w:type="spellEnd"/>
      <w:r w:rsidRPr="00A847DA">
        <w:t xml:space="preserve"> v. Russia (n 2), para 18.</w:t>
      </w:r>
    </w:p>
    <w:p w14:paraId="4EA8AA99" w14:textId="77777777" w:rsidR="00A847DA" w:rsidRPr="00A847DA" w:rsidRDefault="00A847DA" w:rsidP="00A847DA">
      <w:hyperlink r:id="rId69" w:anchor="ftnt_ref9" w:history="1">
        <w:r w:rsidRPr="00A847DA">
          <w:rPr>
            <w:rStyle w:val="Hyperlink"/>
          </w:rPr>
          <w:t>[9]</w:t>
        </w:r>
      </w:hyperlink>
      <w:r w:rsidRPr="00A847DA">
        <w:t> ibid para 41.</w:t>
      </w:r>
    </w:p>
    <w:p w14:paraId="37A5853A" w14:textId="77777777" w:rsidR="00A847DA" w:rsidRPr="00A847DA" w:rsidRDefault="00A847DA" w:rsidP="00A847DA">
      <w:hyperlink r:id="rId70" w:anchor="ftnt_ref10" w:history="1">
        <w:r w:rsidRPr="00A847DA">
          <w:rPr>
            <w:rStyle w:val="Hyperlink"/>
          </w:rPr>
          <w:t>[10]</w:t>
        </w:r>
      </w:hyperlink>
      <w:r w:rsidRPr="00A847DA">
        <w:t> ibid para 51. See also</w:t>
      </w:r>
      <w:r w:rsidRPr="00A847DA">
        <w:rPr>
          <w:i/>
          <w:iCs/>
        </w:rPr>
        <w:t> </w:t>
      </w:r>
      <w:proofErr w:type="spellStart"/>
      <w:r w:rsidRPr="00A847DA">
        <w:rPr>
          <w:i/>
          <w:iCs/>
        </w:rPr>
        <w:t>Karuyev</w:t>
      </w:r>
      <w:proofErr w:type="spellEnd"/>
      <w:r w:rsidRPr="00A847DA">
        <w:rPr>
          <w:i/>
          <w:iCs/>
        </w:rPr>
        <w:t xml:space="preserve"> v. Russia</w:t>
      </w:r>
      <w:r w:rsidRPr="00A847DA">
        <w:t> App no. 4161/13 (ECtHR, 18 January 2022) para 18.</w:t>
      </w:r>
    </w:p>
    <w:p w14:paraId="63F4CD26" w14:textId="77777777" w:rsidR="00A847DA" w:rsidRPr="00A847DA" w:rsidRDefault="00A847DA" w:rsidP="00A847DA">
      <w:hyperlink r:id="rId71" w:anchor="ftnt_ref11" w:history="1">
        <w:r w:rsidRPr="00A847DA">
          <w:rPr>
            <w:rStyle w:val="Hyperlink"/>
          </w:rPr>
          <w:t>[11]</w:t>
        </w:r>
      </w:hyperlink>
      <w:r w:rsidRPr="00A847DA">
        <w:t> ibid para 56.</w:t>
      </w:r>
    </w:p>
    <w:p w14:paraId="416F04CB" w14:textId="77777777" w:rsidR="00A847DA" w:rsidRPr="00A847DA" w:rsidRDefault="00A847DA" w:rsidP="00A847DA">
      <w:hyperlink r:id="rId72" w:anchor="ftnt_ref12" w:history="1">
        <w:r w:rsidRPr="00A847DA">
          <w:rPr>
            <w:rStyle w:val="Hyperlink"/>
          </w:rPr>
          <w:t>[12]</w:t>
        </w:r>
      </w:hyperlink>
      <w:r w:rsidRPr="00A847DA">
        <w:t> ibid para 64. See also </w:t>
      </w:r>
      <w:r w:rsidRPr="00A847DA">
        <w:rPr>
          <w:i/>
          <w:iCs/>
        </w:rPr>
        <w:t xml:space="preserve">López </w:t>
      </w:r>
      <w:proofErr w:type="spellStart"/>
      <w:r w:rsidRPr="00A847DA">
        <w:rPr>
          <w:i/>
          <w:iCs/>
        </w:rPr>
        <w:t>Ribalda</w:t>
      </w:r>
      <w:proofErr w:type="spellEnd"/>
      <w:r w:rsidRPr="00A847DA">
        <w:rPr>
          <w:i/>
          <w:iCs/>
        </w:rPr>
        <w:t xml:space="preserve"> and Others v. Spain</w:t>
      </w:r>
      <w:r w:rsidRPr="00A847DA">
        <w:t>, App No. 1874/13 and 8567/13 (ECtHR, 17 October 2019), para 87.</w:t>
      </w:r>
    </w:p>
    <w:p w14:paraId="5B17BF5A" w14:textId="77777777" w:rsidR="00A847DA" w:rsidRPr="00A847DA" w:rsidRDefault="00A847DA" w:rsidP="00A847DA">
      <w:pPr>
        <w:rPr>
          <w:lang w:val="es-ES"/>
        </w:rPr>
      </w:pPr>
      <w:hyperlink r:id="rId73" w:anchor="ftnt_ref13" w:history="1">
        <w:r w:rsidRPr="00A847DA">
          <w:rPr>
            <w:rStyle w:val="Hyperlink"/>
            <w:lang w:val="es-ES"/>
          </w:rPr>
          <w:t>[13]</w:t>
        </w:r>
      </w:hyperlink>
      <w:r w:rsidRPr="00A847DA">
        <w:rPr>
          <w:lang w:val="es-ES"/>
        </w:rPr>
        <w:t> </w:t>
      </w:r>
      <w:proofErr w:type="spellStart"/>
      <w:r w:rsidRPr="00A847DA">
        <w:rPr>
          <w:lang w:val="es-ES"/>
        </w:rPr>
        <w:t>ibid</w:t>
      </w:r>
      <w:proofErr w:type="spellEnd"/>
      <w:r w:rsidRPr="00A847DA">
        <w:rPr>
          <w:lang w:val="es-ES"/>
        </w:rPr>
        <w:t xml:space="preserve"> para 68.</w:t>
      </w:r>
    </w:p>
    <w:p w14:paraId="3914D735" w14:textId="77777777" w:rsidR="00A847DA" w:rsidRPr="00A847DA" w:rsidRDefault="00A847DA" w:rsidP="00A847DA">
      <w:pPr>
        <w:rPr>
          <w:lang w:val="es-ES"/>
        </w:rPr>
      </w:pPr>
      <w:hyperlink r:id="rId74" w:anchor="ftnt_ref14" w:history="1">
        <w:r w:rsidRPr="00A847DA">
          <w:rPr>
            <w:rStyle w:val="Hyperlink"/>
            <w:lang w:val="es-ES"/>
          </w:rPr>
          <w:t>[14]</w:t>
        </w:r>
      </w:hyperlink>
      <w:r w:rsidRPr="00A847DA">
        <w:rPr>
          <w:lang w:val="es-ES"/>
        </w:rPr>
        <w:t> </w:t>
      </w:r>
      <w:proofErr w:type="spellStart"/>
      <w:r w:rsidRPr="00A847DA">
        <w:rPr>
          <w:lang w:val="es-ES"/>
        </w:rPr>
        <w:t>ibid</w:t>
      </w:r>
      <w:proofErr w:type="spellEnd"/>
      <w:r w:rsidRPr="00A847DA">
        <w:rPr>
          <w:lang w:val="es-ES"/>
        </w:rPr>
        <w:t xml:space="preserve"> para 83.</w:t>
      </w:r>
    </w:p>
    <w:p w14:paraId="6F90DB3A" w14:textId="77777777" w:rsidR="00A847DA" w:rsidRPr="00A847DA" w:rsidRDefault="00A847DA" w:rsidP="00A847DA">
      <w:pPr>
        <w:rPr>
          <w:lang w:val="es-ES"/>
        </w:rPr>
      </w:pPr>
      <w:hyperlink r:id="rId75" w:anchor="ftnt_ref15" w:history="1">
        <w:r w:rsidRPr="00A847DA">
          <w:rPr>
            <w:rStyle w:val="Hyperlink"/>
            <w:lang w:val="es-ES"/>
          </w:rPr>
          <w:t>[15]</w:t>
        </w:r>
      </w:hyperlink>
      <w:r w:rsidRPr="00A847DA">
        <w:rPr>
          <w:lang w:val="es-ES"/>
        </w:rPr>
        <w:t> </w:t>
      </w:r>
      <w:proofErr w:type="spellStart"/>
      <w:r w:rsidRPr="00A847DA">
        <w:rPr>
          <w:lang w:val="es-ES"/>
        </w:rPr>
        <w:t>ibid</w:t>
      </w:r>
      <w:proofErr w:type="spellEnd"/>
      <w:r w:rsidRPr="00A847DA">
        <w:rPr>
          <w:lang w:val="es-ES"/>
        </w:rPr>
        <w:t xml:space="preserve"> para 89.</w:t>
      </w:r>
    </w:p>
    <w:p w14:paraId="23372B25" w14:textId="77777777" w:rsidR="00A847DA" w:rsidRPr="00A847DA" w:rsidRDefault="00A847DA" w:rsidP="00A847DA">
      <w:hyperlink r:id="rId76" w:anchor="ftnt_ref16" w:history="1">
        <w:r w:rsidRPr="00A847DA">
          <w:rPr>
            <w:rStyle w:val="Hyperlink"/>
          </w:rPr>
          <w:t>[16]</w:t>
        </w:r>
      </w:hyperlink>
      <w:r w:rsidRPr="00A847DA">
        <w:t> ibid para 90.</w:t>
      </w:r>
    </w:p>
    <w:p w14:paraId="167EF3A6" w14:textId="77777777" w:rsidR="00A847DA" w:rsidRPr="00A847DA" w:rsidRDefault="00A847DA" w:rsidP="00A847DA">
      <w:hyperlink r:id="rId77" w:anchor="ftnt_ref17" w:history="1">
        <w:r w:rsidRPr="00A847DA">
          <w:rPr>
            <w:rStyle w:val="Hyperlink"/>
          </w:rPr>
          <w:t>[17]</w:t>
        </w:r>
      </w:hyperlink>
      <w:r w:rsidRPr="00A847DA">
        <w:t> ‘Use of Artificial Intelligence by the Police: MEPs Oppose Mass Surveillance | News | European Parliament’ (6 October 2021) &lt;https://www.europarl.europa.eu/news/en/press-room/20210930IPR13925/use-of-artificial-intelligence-by-the-police-meps-oppose</w:t>
      </w:r>
    </w:p>
    <w:p w14:paraId="1F55EC8A" w14:textId="77777777" w:rsidR="00A847DA" w:rsidRPr="00A847DA" w:rsidRDefault="00A847DA" w:rsidP="00A847DA">
      <w:hyperlink r:id="rId78" w:anchor="ftnt_ref18" w:history="1">
        <w:r w:rsidRPr="00A847DA">
          <w:rPr>
            <w:rStyle w:val="Hyperlink"/>
          </w:rPr>
          <w:t>[18]</w:t>
        </w:r>
      </w:hyperlink>
      <w:r w:rsidRPr="00A847DA">
        <w:t xml:space="preserve"> European Union Agency for Fundamental Rights, Facial recognition </w:t>
      </w:r>
      <w:proofErr w:type="gramStart"/>
      <w:r w:rsidRPr="00A847DA">
        <w:t>technology :</w:t>
      </w:r>
      <w:proofErr w:type="gramEnd"/>
      <w:r w:rsidRPr="00A847DA">
        <w:t xml:space="preserve"> fundamental rights considerations in the context of law enforcement, Publications Office, 2019, https://data.europa.eu/doi/10.2811/52597.-mass-surveillance&gt; accessed 14 July 2023.</w:t>
      </w:r>
    </w:p>
    <w:p w14:paraId="3E603DAE" w14:textId="77777777" w:rsidR="00A847DA" w:rsidRPr="00A847DA" w:rsidRDefault="00A847DA" w:rsidP="00A847DA">
      <w:hyperlink r:id="rId79" w:anchor="ftnt_ref19" w:history="1">
        <w:r w:rsidRPr="00A847DA">
          <w:rPr>
            <w:rStyle w:val="Hyperlink"/>
          </w:rPr>
          <w:t>[19]</w:t>
        </w:r>
      </w:hyperlink>
      <w:r w:rsidRPr="00A847DA">
        <w:t xml:space="preserve"> EDPB-EDPS Joint Opinion 5/2021 on the proposal for a Regulation of the European Parliament and of the Council laying down </w:t>
      </w:r>
      <w:proofErr w:type="spellStart"/>
      <w:r w:rsidRPr="00A847DA">
        <w:t>harmonised</w:t>
      </w:r>
      <w:proofErr w:type="spellEnd"/>
      <w:r w:rsidRPr="00A847DA">
        <w:t xml:space="preserve"> rules on artificial intelligence (Artificial Intelligence Act)</w:t>
      </w:r>
    </w:p>
    <w:p w14:paraId="0D2B03FF" w14:textId="77777777" w:rsidR="00A847DA" w:rsidRPr="00A847DA" w:rsidRDefault="00A847DA" w:rsidP="00A847DA">
      <w:hyperlink r:id="rId80" w:anchor="ftnt_ref20" w:history="1">
        <w:r w:rsidRPr="00A847DA">
          <w:rPr>
            <w:rStyle w:val="Hyperlink"/>
          </w:rPr>
          <w:t>[20]</w:t>
        </w:r>
      </w:hyperlink>
      <w:r w:rsidRPr="00A847DA">
        <w:t xml:space="preserve"> Natalia Menéndez González, ‘The Impact of Facial Recognition Technology Empowered by Artificial Intelligence on the Right to Privacy’, in Damian M. Bielicki (ed.), Regulating artificial intelligence in industry, </w:t>
      </w:r>
      <w:proofErr w:type="gramStart"/>
      <w:r w:rsidRPr="00A847DA">
        <w:t>Abingdon ;</w:t>
      </w:r>
      <w:proofErr w:type="gramEnd"/>
      <w:r w:rsidRPr="00A847DA">
        <w:t xml:space="preserve"> New </w:t>
      </w:r>
      <w:proofErr w:type="gramStart"/>
      <w:r w:rsidRPr="00A847DA">
        <w:t>York :</w:t>
      </w:r>
      <w:proofErr w:type="gramEnd"/>
      <w:r w:rsidRPr="00A847DA">
        <w:t xml:space="preserve"> Routledge, 2022, pp. 21-35</w:t>
      </w:r>
    </w:p>
    <w:p w14:paraId="46450190" w14:textId="77777777" w:rsidR="00A847DA" w:rsidRPr="00A847DA" w:rsidRDefault="00A847DA" w:rsidP="00A847DA">
      <w:hyperlink r:id="rId81" w:anchor="ftnt_ref21" w:history="1">
        <w:r w:rsidRPr="00A847DA">
          <w:rPr>
            <w:rStyle w:val="Hyperlink"/>
          </w:rPr>
          <w:t>[21]</w:t>
        </w:r>
      </w:hyperlink>
      <w:r w:rsidRPr="00A847DA">
        <w:t> </w:t>
      </w:r>
      <w:proofErr w:type="spellStart"/>
      <w:r w:rsidRPr="00A847DA">
        <w:t>EDRi</w:t>
      </w:r>
      <w:proofErr w:type="spellEnd"/>
      <w:r w:rsidRPr="00A847DA">
        <w:t xml:space="preserve"> position paper: “Ban Biometric Mass Surveillance: A set of fundamental rights demands for the European Commission and EU Member States” (13.05.2020</w:t>
      </w:r>
      <w:proofErr w:type="gramStart"/>
      <w:r w:rsidRPr="00A847DA">
        <w:t>);  Big</w:t>
      </w:r>
      <w:proofErr w:type="gramEnd"/>
      <w:r w:rsidRPr="00A847DA">
        <w:t xml:space="preserve"> Brother Watch, Face Off The lawless growth of facial recognition in UK policing, May 2018 and Big Brother Watch, Biometric Britain: The Expansion of Facial Recognition Surveillance, May 2023</w:t>
      </w:r>
    </w:p>
    <w:p w14:paraId="6059C66E" w14:textId="77777777" w:rsidR="00A847DA" w:rsidRPr="00A847DA" w:rsidRDefault="00A847DA" w:rsidP="00A847DA">
      <w:hyperlink r:id="rId82" w:anchor="ftnt_ref22" w:history="1">
        <w:r w:rsidRPr="00A847DA">
          <w:rPr>
            <w:rStyle w:val="Hyperlink"/>
          </w:rPr>
          <w:t>[22]</w:t>
        </w:r>
      </w:hyperlink>
      <w:r w:rsidRPr="00A847DA">
        <w:t> ‘Forget ChatGPT: Facial Recognition Emerges as AI Rulebook’s Make-or-Break Issue – POLITICO’ &lt;https://www.politico.eu/article/facial-recognition-artificial-intelligence-act-ai-issue-european-parliament/&gt; accessed 14 July 2023.</w:t>
      </w:r>
    </w:p>
    <w:p w14:paraId="6F1E50FC" w14:textId="77777777" w:rsidR="00A847DA" w:rsidRPr="00A847DA" w:rsidRDefault="00A847DA" w:rsidP="00A847DA">
      <w:hyperlink r:id="rId83" w:anchor="ftnt_ref23" w:history="1">
        <w:r w:rsidRPr="00A847DA">
          <w:rPr>
            <w:rStyle w:val="Hyperlink"/>
          </w:rPr>
          <w:t>[23]</w:t>
        </w:r>
      </w:hyperlink>
      <w:r w:rsidRPr="00A847DA">
        <w:t xml:space="preserve"> The </w:t>
      </w:r>
      <w:proofErr w:type="spellStart"/>
      <w:r w:rsidRPr="00A847DA">
        <w:t>CoE</w:t>
      </w:r>
      <w:proofErr w:type="spellEnd"/>
      <w:r w:rsidRPr="00A847DA">
        <w:t xml:space="preserve"> has very recently released Consolidated Working Draft Convention on Artificial Intelligence, Human Rights, Democracy and the Rule of Law</w:t>
      </w:r>
    </w:p>
    <w:p w14:paraId="7915CA61" w14:textId="77777777" w:rsidR="00A847DA" w:rsidRPr="00A847DA" w:rsidRDefault="00A847DA" w:rsidP="00A847DA">
      <w:hyperlink r:id="rId84" w:anchor="ftnt_ref24" w:history="1">
        <w:r w:rsidRPr="00A847DA">
          <w:rPr>
            <w:rStyle w:val="Hyperlink"/>
          </w:rPr>
          <w:t>[24]</w:t>
        </w:r>
      </w:hyperlink>
      <w:r w:rsidRPr="00A847DA">
        <w:t xml:space="preserve"> Evan Selinger &amp; Woodrow Hartzog, The </w:t>
      </w:r>
      <w:proofErr w:type="spellStart"/>
      <w:r w:rsidRPr="00A847DA">
        <w:t>Inconsentability</w:t>
      </w:r>
      <w:proofErr w:type="spellEnd"/>
      <w:r w:rsidRPr="00A847DA">
        <w:t xml:space="preserve"> of Facial </w:t>
      </w:r>
      <w:proofErr w:type="gramStart"/>
      <w:r w:rsidRPr="00A847DA">
        <w:t>Surveillance ,</w:t>
      </w:r>
      <w:proofErr w:type="gramEnd"/>
      <w:r w:rsidRPr="00A847DA">
        <w:t xml:space="preserve"> in 66 Loyola Law Review 101 (2019). Available at: </w:t>
      </w:r>
      <w:hyperlink r:id="rId85" w:history="1">
        <w:r w:rsidRPr="00A847DA">
          <w:rPr>
            <w:rStyle w:val="Hyperlink"/>
          </w:rPr>
          <w:t>https://scholarship.law.bu.edu/faculty_scholarship/3066</w:t>
        </w:r>
      </w:hyperlink>
      <w:r w:rsidRPr="00A847DA">
        <w:t> and Natalia Menéndez González, Yes, I Will: Consent Dilemmas Involving Facial Recognition Technology, Center for Legal &amp; Court Technology William &amp; Mary Law School Special Mention 4th Annual Artificial Intelligence Writing Competition</w:t>
      </w:r>
    </w:p>
    <w:p w14:paraId="5401EEBD" w14:textId="77777777" w:rsidR="00A847DA" w:rsidRPr="00A847DA" w:rsidRDefault="00A847DA" w:rsidP="00A847DA">
      <w:pPr>
        <w:rPr>
          <w:lang w:val="es-ES"/>
        </w:rPr>
      </w:pPr>
      <w:hyperlink r:id="rId86" w:anchor="ftnt_ref25" w:history="1">
        <w:r w:rsidRPr="00A847DA">
          <w:rPr>
            <w:rStyle w:val="Hyperlink"/>
            <w:lang w:val="es-ES"/>
          </w:rPr>
          <w:t>[25]</w:t>
        </w:r>
      </w:hyperlink>
      <w:r w:rsidRPr="00A847DA">
        <w:rPr>
          <w:lang w:val="es-ES"/>
        </w:rPr>
        <w:t> </w:t>
      </w:r>
      <w:proofErr w:type="spellStart"/>
      <w:r w:rsidRPr="00A847DA">
        <w:rPr>
          <w:lang w:val="es-ES"/>
        </w:rPr>
        <w:t>Glukhin</w:t>
      </w:r>
      <w:proofErr w:type="spellEnd"/>
      <w:r w:rsidRPr="00A847DA">
        <w:rPr>
          <w:lang w:val="es-ES"/>
        </w:rPr>
        <w:t xml:space="preserve"> v. Russia (n 2), para 69.</w:t>
      </w:r>
    </w:p>
    <w:p w14:paraId="69309A1B" w14:textId="77777777" w:rsidR="00A847DA" w:rsidRPr="00A847DA" w:rsidRDefault="00A847DA" w:rsidP="00A847DA">
      <w:pPr>
        <w:rPr>
          <w:lang w:val="es-ES"/>
        </w:rPr>
      </w:pPr>
      <w:hyperlink r:id="rId87" w:anchor="ftnt_ref26" w:history="1">
        <w:r w:rsidRPr="00A847DA">
          <w:rPr>
            <w:rStyle w:val="Hyperlink"/>
            <w:lang w:val="es-ES"/>
          </w:rPr>
          <w:t>[26]</w:t>
        </w:r>
      </w:hyperlink>
      <w:r w:rsidRPr="00A847DA">
        <w:rPr>
          <w:lang w:val="es-ES"/>
        </w:rPr>
        <w:t> </w:t>
      </w:r>
      <w:proofErr w:type="spellStart"/>
      <w:r w:rsidRPr="00A847DA">
        <w:rPr>
          <w:lang w:val="es-ES"/>
        </w:rPr>
        <w:t>ibid</w:t>
      </w:r>
      <w:proofErr w:type="spellEnd"/>
      <w:r w:rsidRPr="00A847DA">
        <w:rPr>
          <w:lang w:val="es-ES"/>
        </w:rPr>
        <w:t xml:space="preserve"> para 70.</w:t>
      </w:r>
    </w:p>
    <w:p w14:paraId="0894E8A9" w14:textId="77777777" w:rsidR="00A847DA" w:rsidRPr="00A847DA" w:rsidRDefault="00A847DA" w:rsidP="00A847DA">
      <w:hyperlink r:id="rId88" w:anchor="ftnt_ref27" w:history="1">
        <w:r w:rsidRPr="00A847DA">
          <w:rPr>
            <w:rStyle w:val="Hyperlink"/>
          </w:rPr>
          <w:t>[27]</w:t>
        </w:r>
      </w:hyperlink>
      <w:r w:rsidRPr="00A847DA">
        <w:t> ibid.</w:t>
      </w:r>
    </w:p>
    <w:p w14:paraId="53AE4F9E" w14:textId="77777777" w:rsidR="00A847DA" w:rsidRPr="00A847DA" w:rsidRDefault="00A847DA" w:rsidP="00A847DA">
      <w:hyperlink r:id="rId89" w:anchor="ftnt_ref28" w:history="1">
        <w:r w:rsidRPr="00A847DA">
          <w:rPr>
            <w:rStyle w:val="Hyperlink"/>
          </w:rPr>
          <w:t>[28]</w:t>
        </w:r>
      </w:hyperlink>
      <w:r w:rsidRPr="00A847DA">
        <w:t> </w:t>
      </w:r>
      <w:r w:rsidRPr="00A847DA">
        <w:rPr>
          <w:i/>
          <w:iCs/>
        </w:rPr>
        <w:t>See </w:t>
      </w:r>
      <w:r w:rsidRPr="00A847DA">
        <w:t>OVD-Info, “How the Russian state uses cameras against protesters” (17 January 2022).</w:t>
      </w:r>
    </w:p>
    <w:p w14:paraId="61315163" w14:textId="77777777" w:rsidR="00A847DA" w:rsidRPr="00A847DA" w:rsidRDefault="00A847DA" w:rsidP="00A847DA">
      <w:hyperlink r:id="rId90" w:anchor="ftnt_ref29" w:history="1">
        <w:r w:rsidRPr="00A847DA">
          <w:rPr>
            <w:rStyle w:val="Hyperlink"/>
          </w:rPr>
          <w:t>[29]</w:t>
        </w:r>
      </w:hyperlink>
      <w:r w:rsidRPr="00A847DA">
        <w:t> </w:t>
      </w:r>
      <w:proofErr w:type="spellStart"/>
      <w:r w:rsidRPr="00A847DA">
        <w:t>Glukhin</w:t>
      </w:r>
      <w:proofErr w:type="spellEnd"/>
      <w:r w:rsidRPr="00A847DA">
        <w:t xml:space="preserve"> v. Russia</w:t>
      </w:r>
      <w:r w:rsidRPr="00A847DA">
        <w:rPr>
          <w:i/>
          <w:iCs/>
        </w:rPr>
        <w:t> </w:t>
      </w:r>
      <w:r w:rsidRPr="00A847DA">
        <w:t>(n 2), para 70.</w:t>
      </w:r>
    </w:p>
    <w:p w14:paraId="3C0C3FDF" w14:textId="77777777" w:rsidR="00A847DA" w:rsidRPr="00A847DA" w:rsidRDefault="00A847DA" w:rsidP="00A847DA">
      <w:hyperlink r:id="rId91" w:anchor="ftnt_ref30" w:history="1">
        <w:r w:rsidRPr="00A847DA">
          <w:rPr>
            <w:rStyle w:val="Hyperlink"/>
          </w:rPr>
          <w:t>[30]</w:t>
        </w:r>
      </w:hyperlink>
      <w:r w:rsidRPr="00A847DA">
        <w:t xml:space="preserve"> Raposo, V.L. The Use of Facial Recognition Technology by Law Enforcement in Europe: </w:t>
      </w:r>
      <w:proofErr w:type="gramStart"/>
      <w:r w:rsidRPr="00A847DA">
        <w:t>a</w:t>
      </w:r>
      <w:proofErr w:type="gramEnd"/>
      <w:r w:rsidRPr="00A847DA">
        <w:t xml:space="preserve"> Non-Orwellian Draft Proposal. </w:t>
      </w:r>
      <w:proofErr w:type="spellStart"/>
      <w:r w:rsidRPr="00A847DA">
        <w:t>Eur</w:t>
      </w:r>
      <w:proofErr w:type="spellEnd"/>
      <w:r w:rsidRPr="00A847DA">
        <w:t xml:space="preserve"> J Crim Policy Res (2022). </w:t>
      </w:r>
      <w:hyperlink r:id="rId92" w:history="1">
        <w:r w:rsidRPr="00A847DA">
          <w:rPr>
            <w:rStyle w:val="Hyperlink"/>
          </w:rPr>
          <w:t>https://doi.org/10.1007/s10610-022-09512-y</w:t>
        </w:r>
      </w:hyperlink>
      <w:r w:rsidRPr="00A847DA">
        <w:t xml:space="preserve">; Friedman, Lawrence and Hansen, Victor (2012) "Secrecy, Transparency, and National Security," William Mitchell Law Review: Vol. 38: </w:t>
      </w:r>
      <w:proofErr w:type="spellStart"/>
      <w:r w:rsidRPr="00A847DA">
        <w:t>Iss</w:t>
      </w:r>
      <w:proofErr w:type="spellEnd"/>
      <w:r w:rsidRPr="00A847DA">
        <w:t>. 5, Article 9.</w:t>
      </w:r>
    </w:p>
    <w:p w14:paraId="3CFB1FFC" w14:textId="77777777" w:rsidR="00A847DA" w:rsidRPr="00A847DA" w:rsidRDefault="00A847DA" w:rsidP="00A847DA">
      <w:r w:rsidRPr="00A847DA">
        <w:t>Available at: http://open.mitchellhamline.edu/wmlr/vol38/iss5/9</w:t>
      </w:r>
    </w:p>
    <w:p w14:paraId="0906D573" w14:textId="77777777" w:rsidR="00A847DA" w:rsidRPr="00A847DA" w:rsidRDefault="00A847DA" w:rsidP="00A847DA">
      <w:pPr>
        <w:rPr>
          <w:lang w:val="es-ES"/>
        </w:rPr>
      </w:pPr>
      <w:hyperlink r:id="rId93" w:anchor="ftnt_ref31" w:history="1">
        <w:r w:rsidRPr="00A847DA">
          <w:rPr>
            <w:rStyle w:val="Hyperlink"/>
            <w:lang w:val="es-ES"/>
          </w:rPr>
          <w:t>[31]</w:t>
        </w:r>
      </w:hyperlink>
      <w:r w:rsidRPr="00A847DA">
        <w:rPr>
          <w:lang w:val="es-ES"/>
        </w:rPr>
        <w:t> </w:t>
      </w:r>
      <w:proofErr w:type="spellStart"/>
      <w:r w:rsidRPr="00A847DA">
        <w:rPr>
          <w:lang w:val="es-ES"/>
        </w:rPr>
        <w:t>ibid</w:t>
      </w:r>
      <w:proofErr w:type="spellEnd"/>
      <w:r w:rsidRPr="00A847DA">
        <w:rPr>
          <w:lang w:val="es-ES"/>
        </w:rPr>
        <w:t> para 86.</w:t>
      </w:r>
    </w:p>
    <w:p w14:paraId="66375A84" w14:textId="77777777" w:rsidR="00A847DA" w:rsidRPr="00A847DA" w:rsidRDefault="00A847DA" w:rsidP="00A847DA">
      <w:pPr>
        <w:rPr>
          <w:lang w:val="es-ES"/>
        </w:rPr>
      </w:pPr>
      <w:hyperlink r:id="rId94" w:anchor="ftnt_ref32" w:history="1">
        <w:r w:rsidRPr="00A847DA">
          <w:rPr>
            <w:rStyle w:val="Hyperlink"/>
            <w:lang w:val="es-ES"/>
          </w:rPr>
          <w:t>[32]</w:t>
        </w:r>
      </w:hyperlink>
      <w:r w:rsidRPr="00A847DA">
        <w:rPr>
          <w:lang w:val="es-ES"/>
        </w:rPr>
        <w:t> </w:t>
      </w:r>
      <w:proofErr w:type="spellStart"/>
      <w:r w:rsidRPr="00A847DA">
        <w:rPr>
          <w:lang w:val="es-ES"/>
        </w:rPr>
        <w:t>ibid</w:t>
      </w:r>
      <w:proofErr w:type="spellEnd"/>
      <w:r w:rsidRPr="00A847DA">
        <w:rPr>
          <w:lang w:val="es-ES"/>
        </w:rPr>
        <w:t xml:space="preserve"> para 75.</w:t>
      </w:r>
    </w:p>
    <w:p w14:paraId="74986D91" w14:textId="77777777" w:rsidR="00A847DA" w:rsidRPr="00A847DA" w:rsidRDefault="00A847DA" w:rsidP="00A847DA">
      <w:pPr>
        <w:rPr>
          <w:lang w:val="es-ES"/>
        </w:rPr>
      </w:pPr>
      <w:hyperlink r:id="rId95" w:anchor="ftnt_ref33" w:history="1">
        <w:r w:rsidRPr="00A847DA">
          <w:rPr>
            <w:rStyle w:val="Hyperlink"/>
            <w:lang w:val="es-ES"/>
          </w:rPr>
          <w:t>[33]</w:t>
        </w:r>
      </w:hyperlink>
      <w:r w:rsidRPr="00A847DA">
        <w:rPr>
          <w:lang w:val="es-ES"/>
        </w:rPr>
        <w:t> </w:t>
      </w:r>
      <w:proofErr w:type="spellStart"/>
      <w:r w:rsidRPr="00A847DA">
        <w:rPr>
          <w:lang w:val="es-ES"/>
        </w:rPr>
        <w:t>ibid</w:t>
      </w:r>
      <w:proofErr w:type="spellEnd"/>
      <w:r w:rsidRPr="00A847DA">
        <w:rPr>
          <w:lang w:val="es-ES"/>
        </w:rPr>
        <w:t xml:space="preserve"> paras 75-86.</w:t>
      </w:r>
    </w:p>
    <w:p w14:paraId="16B037EF" w14:textId="77777777" w:rsidR="00A847DA" w:rsidRPr="00A847DA" w:rsidRDefault="00A847DA" w:rsidP="00A847DA">
      <w:pPr>
        <w:rPr>
          <w:lang w:val="es-ES"/>
        </w:rPr>
      </w:pPr>
      <w:hyperlink r:id="rId96" w:anchor="ftnt_ref34" w:history="1">
        <w:r w:rsidRPr="00A847DA">
          <w:rPr>
            <w:rStyle w:val="Hyperlink"/>
            <w:lang w:val="es-ES"/>
          </w:rPr>
          <w:t>[34]</w:t>
        </w:r>
      </w:hyperlink>
      <w:r w:rsidRPr="00A847DA">
        <w:rPr>
          <w:lang w:val="es-ES"/>
        </w:rPr>
        <w:t> </w:t>
      </w:r>
      <w:proofErr w:type="spellStart"/>
      <w:r w:rsidRPr="00A847DA">
        <w:rPr>
          <w:lang w:val="es-ES"/>
        </w:rPr>
        <w:t>ibid</w:t>
      </w:r>
      <w:proofErr w:type="spellEnd"/>
      <w:r w:rsidRPr="00A847DA">
        <w:rPr>
          <w:lang w:val="es-ES"/>
        </w:rPr>
        <w:t xml:space="preserve"> paras 77-83.</w:t>
      </w:r>
    </w:p>
    <w:p w14:paraId="015E80CD" w14:textId="77777777" w:rsidR="00A847DA" w:rsidRPr="00A847DA" w:rsidRDefault="00A847DA" w:rsidP="00A847DA">
      <w:pPr>
        <w:rPr>
          <w:lang w:val="es-ES"/>
        </w:rPr>
      </w:pPr>
      <w:hyperlink r:id="rId97" w:anchor="ftnt_ref35" w:history="1">
        <w:r w:rsidRPr="00A847DA">
          <w:rPr>
            <w:rStyle w:val="Hyperlink"/>
            <w:lang w:val="es-ES"/>
          </w:rPr>
          <w:t>[35]</w:t>
        </w:r>
      </w:hyperlink>
      <w:r w:rsidRPr="00A847DA">
        <w:rPr>
          <w:lang w:val="es-ES"/>
        </w:rPr>
        <w:t> </w:t>
      </w:r>
      <w:proofErr w:type="spellStart"/>
      <w:r w:rsidRPr="00A847DA">
        <w:rPr>
          <w:lang w:val="es-ES"/>
        </w:rPr>
        <w:t>ibid</w:t>
      </w:r>
      <w:proofErr w:type="spellEnd"/>
      <w:r w:rsidRPr="00A847DA">
        <w:rPr>
          <w:lang w:val="es-ES"/>
        </w:rPr>
        <w:t xml:space="preserve"> para 83.</w:t>
      </w:r>
    </w:p>
    <w:p w14:paraId="217FFC0F" w14:textId="77777777" w:rsidR="00A847DA" w:rsidRPr="00A847DA" w:rsidRDefault="00A847DA" w:rsidP="00A847DA">
      <w:pPr>
        <w:rPr>
          <w:lang w:val="es-ES"/>
        </w:rPr>
      </w:pPr>
      <w:hyperlink r:id="rId98" w:anchor="ftnt_ref36" w:history="1">
        <w:r w:rsidRPr="00A847DA">
          <w:rPr>
            <w:rStyle w:val="Hyperlink"/>
            <w:lang w:val="es-ES"/>
          </w:rPr>
          <w:t>[36]</w:t>
        </w:r>
      </w:hyperlink>
      <w:r w:rsidRPr="00A847DA">
        <w:rPr>
          <w:lang w:val="es-ES"/>
        </w:rPr>
        <w:t> </w:t>
      </w:r>
      <w:proofErr w:type="spellStart"/>
      <w:r w:rsidRPr="00A847DA">
        <w:rPr>
          <w:lang w:val="es-ES"/>
        </w:rPr>
        <w:t>ibid</w:t>
      </w:r>
      <w:proofErr w:type="spellEnd"/>
      <w:r w:rsidRPr="00A847DA">
        <w:rPr>
          <w:lang w:val="es-ES"/>
        </w:rPr>
        <w:t xml:space="preserve"> para 86.</w:t>
      </w:r>
    </w:p>
    <w:p w14:paraId="45F59F25" w14:textId="77777777" w:rsidR="00A847DA" w:rsidRPr="00A847DA" w:rsidRDefault="00A847DA" w:rsidP="00A847DA">
      <w:hyperlink r:id="rId99" w:anchor="ftnt_ref37" w:history="1">
        <w:r w:rsidRPr="00A847DA">
          <w:rPr>
            <w:rStyle w:val="Hyperlink"/>
          </w:rPr>
          <w:t>[37]</w:t>
        </w:r>
      </w:hyperlink>
      <w:r w:rsidRPr="00A847DA">
        <w:t> Article 5(1)(d) Proposal for a REGULATION OF THE EUROPEAN PARLIAMENT AND OF THE COUNCIL LAYING DOWN HARMONISED RULES ON ARTIFICIAL INTELLIGENCE (ARTIFICIAL INTELLIGENCE ACT) AND AMENDING CERTAIN UNION LEGISLATIVE ACTS COM/2021/206 final</w:t>
      </w:r>
    </w:p>
    <w:p w14:paraId="7AE72FA8" w14:textId="77777777" w:rsidR="00A847DA" w:rsidRPr="00A847DA" w:rsidRDefault="00A847DA" w:rsidP="00A847DA">
      <w:hyperlink r:id="rId100" w:anchor="ftnt_ref38" w:history="1">
        <w:r w:rsidRPr="00A847DA">
          <w:rPr>
            <w:rStyle w:val="Hyperlink"/>
          </w:rPr>
          <w:t>[38]</w:t>
        </w:r>
      </w:hyperlink>
      <w:r w:rsidRPr="00A847DA">
        <w:t> Articles 6 to 8 Proposal for a REGULATION OF THE EUROPEAN PARLIAMENT AND OF THE COUNCIL LAYING DOWN HARMONISED RULES ON ARTIFICIAL INTELLIGENCE (ARTIFICIAL INTELLIGENCE ACT) AND AMENDING CERTAIN UNION LEGISLATIVE ACTS COM/2021/206 final</w:t>
      </w:r>
    </w:p>
    <w:p w14:paraId="121C470E" w14:textId="77777777" w:rsidR="00A847DA" w:rsidRPr="00A847DA" w:rsidRDefault="00A847DA" w:rsidP="00A847DA">
      <w:hyperlink r:id="rId101" w:anchor="ftnt_ref39" w:history="1">
        <w:r w:rsidRPr="00A847DA">
          <w:rPr>
            <w:rStyle w:val="Hyperlink"/>
          </w:rPr>
          <w:t>[39]</w:t>
        </w:r>
      </w:hyperlink>
      <w:r w:rsidRPr="00A847DA">
        <w:t> Daly, A. (2019). Algorithmic oppression with Chinese characteristics: AI against Xinjiang's Uyghurs. In Artificial intelligence: Human rights, social justice and development: Global Information Society Watch 2019 Report (pp. 108-112) </w:t>
      </w:r>
      <w:hyperlink r:id="rId102" w:history="1">
        <w:r w:rsidRPr="00A847DA">
          <w:rPr>
            <w:rStyle w:val="Hyperlink"/>
          </w:rPr>
          <w:t>https://www.giswatch.org/node/6165</w:t>
        </w:r>
      </w:hyperlink>
      <w:r w:rsidRPr="00A847DA">
        <w:t xml:space="preserve">; Van Noorden, Richard. "The Ethical Questions that Haunt Facial-Recognition Research." </w:t>
      </w:r>
      <w:proofErr w:type="gramStart"/>
      <w:r w:rsidRPr="00A847DA">
        <w:t>2020,  https://doi.org/10.1038/d41586-020-03187-3</w:t>
      </w:r>
      <w:proofErr w:type="gramEnd"/>
      <w:r w:rsidRPr="00A847DA">
        <w:t xml:space="preserve">. Accessed 15 Jul. 2023.; Brown, T. G., Statman, A., &amp; Sui, C. (2021). Public Debate on Facial Recognition Technologies in China. MIT Case Studies in Social and Ethical Responsibilities of Computing, (Summer </w:t>
      </w:r>
      <w:r w:rsidRPr="00A847DA">
        <w:lastRenderedPageBreak/>
        <w:t>2021). </w:t>
      </w:r>
      <w:hyperlink r:id="rId103" w:history="1">
        <w:r w:rsidRPr="00A847DA">
          <w:rPr>
            <w:rStyle w:val="Hyperlink"/>
          </w:rPr>
          <w:t>https://doi.org/10.21428/2c646de5.37712c5c</w:t>
        </w:r>
      </w:hyperlink>
      <w:r w:rsidRPr="00A847DA">
        <w:t> and IPVM, Uyghur Surveillance &amp; Ethnicity Detection Analytics in China Expert Report Presented to the Uyghur Tribunal August 20, 2021</w:t>
      </w:r>
    </w:p>
    <w:p w14:paraId="61DEA3D9" w14:textId="77777777" w:rsidR="00A847DA" w:rsidRPr="00A847DA" w:rsidRDefault="00A847DA" w:rsidP="00A847DA">
      <w:hyperlink r:id="rId104" w:anchor="ftnt_ref40" w:history="1">
        <w:r w:rsidRPr="00A847DA">
          <w:rPr>
            <w:rStyle w:val="Hyperlink"/>
          </w:rPr>
          <w:t>[40]</w:t>
        </w:r>
      </w:hyperlink>
      <w:r w:rsidRPr="00A847DA">
        <w:t xml:space="preserve"> S. and </w:t>
      </w:r>
      <w:proofErr w:type="spellStart"/>
      <w:r w:rsidRPr="00A847DA">
        <w:t>Marper</w:t>
      </w:r>
      <w:proofErr w:type="spellEnd"/>
      <w:r w:rsidRPr="00A847DA">
        <w:t xml:space="preserve"> v. UK Applications nos. 30562/04 and 30566/04 (ECtHR, 4 December 2008)</w:t>
      </w:r>
    </w:p>
    <w:p w14:paraId="3540ABC7" w14:textId="77777777" w:rsidR="00A847DA" w:rsidRPr="00A847DA" w:rsidRDefault="00A847DA" w:rsidP="00A847DA">
      <w:hyperlink r:id="rId105" w:anchor="ftnt_ref41" w:history="1">
        <w:r w:rsidRPr="00A847DA">
          <w:rPr>
            <w:rStyle w:val="Hyperlink"/>
          </w:rPr>
          <w:t>[41]</w:t>
        </w:r>
      </w:hyperlink>
      <w:r w:rsidRPr="00A847DA">
        <w:t> </w:t>
      </w:r>
      <w:proofErr w:type="spellStart"/>
      <w:r w:rsidRPr="00A847DA">
        <w:t>Glukhin</w:t>
      </w:r>
      <w:proofErr w:type="spellEnd"/>
      <w:r w:rsidRPr="00A847DA">
        <w:t xml:space="preserve"> v. Russia (n 2), para 85.</w:t>
      </w:r>
    </w:p>
    <w:p w14:paraId="0D0AB302" w14:textId="77777777" w:rsidR="00A847DA" w:rsidRPr="00A847DA" w:rsidRDefault="00A847DA" w:rsidP="00A847DA">
      <w:hyperlink r:id="rId106" w:anchor="ftnt_ref42" w:history="1">
        <w:r w:rsidRPr="00A847DA">
          <w:rPr>
            <w:rStyle w:val="Hyperlink"/>
          </w:rPr>
          <w:t>[42]</w:t>
        </w:r>
      </w:hyperlink>
      <w:r w:rsidRPr="00A847DA">
        <w:t> ibid 88.</w:t>
      </w:r>
    </w:p>
    <w:p w14:paraId="6E8212AA" w14:textId="77777777" w:rsidR="00A847DA" w:rsidRPr="00A847DA" w:rsidRDefault="00A847DA" w:rsidP="00A847DA">
      <w:hyperlink r:id="rId107" w:anchor="ftnt_ref43" w:history="1">
        <w:r w:rsidRPr="00A847DA">
          <w:rPr>
            <w:rStyle w:val="Hyperlink"/>
          </w:rPr>
          <w:t>[43]</w:t>
        </w:r>
      </w:hyperlink>
      <w:r w:rsidRPr="00A847DA">
        <w:t> ibid 90.</w:t>
      </w:r>
    </w:p>
    <w:p w14:paraId="0F12F3C7" w14:textId="77777777" w:rsidR="00A847DA" w:rsidRPr="00A847DA" w:rsidRDefault="00A847DA" w:rsidP="00A847DA">
      <w:hyperlink r:id="rId108" w:anchor="ftnt_ref44" w:history="1">
        <w:r w:rsidRPr="00A847DA">
          <w:rPr>
            <w:rStyle w:val="Hyperlink"/>
          </w:rPr>
          <w:t>[44]</w:t>
        </w:r>
      </w:hyperlink>
      <w:r w:rsidRPr="00A847DA">
        <w:t> ibid 86.</w:t>
      </w:r>
    </w:p>
    <w:p w14:paraId="651EE20C" w14:textId="77777777" w:rsidR="00A847DA" w:rsidRPr="00A847DA" w:rsidRDefault="00A847DA" w:rsidP="00A847DA">
      <w:hyperlink r:id="rId109" w:anchor="ftnt_ref45" w:history="1">
        <w:r w:rsidRPr="00A847DA">
          <w:rPr>
            <w:rStyle w:val="Hyperlink"/>
          </w:rPr>
          <w:t>[45]</w:t>
        </w:r>
      </w:hyperlink>
      <w:r w:rsidRPr="00A847DA">
        <w:t> </w:t>
      </w:r>
      <w:r w:rsidRPr="00A847DA">
        <w:rPr>
          <w:i/>
          <w:iCs/>
        </w:rPr>
        <w:t>See also </w:t>
      </w:r>
      <w:r w:rsidRPr="00A847DA">
        <w:t>report of the United Nations High Commissioner for Human Rights of 24 June 2020 entitled “Impact of new technologies on the promotion and protection of human rights in the context of assemblies, including peaceful protests” (UN Doc. A/HRC/44/24).</w:t>
      </w:r>
    </w:p>
    <w:p w14:paraId="6CD2CE82" w14:textId="77777777" w:rsidR="00A847DA" w:rsidRPr="00A847DA" w:rsidRDefault="00A847DA" w:rsidP="00A847DA">
      <w:hyperlink r:id="rId110" w:anchor="ftnt_ref46" w:history="1">
        <w:r w:rsidRPr="00A847DA">
          <w:rPr>
            <w:rStyle w:val="Hyperlink"/>
          </w:rPr>
          <w:t>[46]</w:t>
        </w:r>
      </w:hyperlink>
      <w:r w:rsidRPr="00A847DA">
        <w:t> </w:t>
      </w:r>
      <w:r w:rsidRPr="00A847DA">
        <w:rPr>
          <w:i/>
          <w:iCs/>
        </w:rPr>
        <w:t>See for instance </w:t>
      </w:r>
      <w:r w:rsidRPr="00A847DA">
        <w:t>Big Brother Watch campaign in the UK and the Edri campaign in the EU (</w:t>
      </w:r>
      <w:hyperlink r:id="rId111" w:history="1">
        <w:r w:rsidRPr="00A847DA">
          <w:rPr>
            <w:rStyle w:val="Hyperlink"/>
          </w:rPr>
          <w:t>https://edri.org/our-work/blog-ban-biometric-mass-surveillance/</w:t>
        </w:r>
      </w:hyperlink>
      <w:r w:rsidRPr="00A847DA">
        <w:t>) </w:t>
      </w:r>
      <w:hyperlink r:id="rId112" w:history="1">
        <w:r w:rsidRPr="00A847DA">
          <w:rPr>
            <w:rStyle w:val="Hyperlink"/>
          </w:rPr>
          <w:t>https://www.google.com/url?q=https://bigbrotherwatch.org.uk/campaigns/stop-facial-recognition/%23breadcrumb&amp;sa=D&amp;source=docs&amp;ust=1689587465251964&amp;usg=AOvVaw1QA34nKofGCLH8VXMGaTDn</w:t>
        </w:r>
      </w:hyperlink>
      <w:r w:rsidRPr="00A847DA">
        <w:t> </w:t>
      </w:r>
    </w:p>
    <w:p w14:paraId="6E493D7F" w14:textId="77777777" w:rsidR="00A847DA" w:rsidRPr="00A847DA" w:rsidRDefault="00A847DA" w:rsidP="00A847DA">
      <w:hyperlink r:id="rId113" w:anchor="ftnt_ref47" w:history="1">
        <w:r w:rsidRPr="00A847DA">
          <w:rPr>
            <w:rStyle w:val="Hyperlink"/>
          </w:rPr>
          <w:t>[47]</w:t>
        </w:r>
      </w:hyperlink>
      <w:r w:rsidRPr="00A847DA">
        <w:t> </w:t>
      </w:r>
      <w:proofErr w:type="spellStart"/>
      <w:r w:rsidRPr="00A847DA">
        <w:t>Glukhin</w:t>
      </w:r>
      <w:proofErr w:type="spellEnd"/>
      <w:r w:rsidRPr="00A847DA">
        <w:t xml:space="preserve"> v. Russia (n 2), para 87</w:t>
      </w:r>
    </w:p>
    <w:p w14:paraId="0AC91D1D" w14:textId="77777777" w:rsidR="00A847DA" w:rsidRPr="00A847DA" w:rsidRDefault="00A847DA" w:rsidP="00A847DA">
      <w:hyperlink r:id="rId114" w:anchor="ftnt_ref48" w:history="1">
        <w:r w:rsidRPr="00A847DA">
          <w:rPr>
            <w:rStyle w:val="Hyperlink"/>
          </w:rPr>
          <w:t>[48]</w:t>
        </w:r>
      </w:hyperlink>
      <w:r w:rsidRPr="00A847DA">
        <w:t xml:space="preserve"> ‘Update: Big Brother Watch’s Complaint to the ICO on Retailer Facial Recognition — Big Brother Watch’ (Update: Big Brother Watch’s complaint to the ICO on retailer facial recognition — Big Brother Watch) &lt;https://bigbrotherwatch.org.uk/2023/06/update-big-brother-watchs-complaint-to-the-ico-on-retailer-facial-recognition/&gt; accessed 10 July 2023; ‘Dutch DPA Issues Formal Warning to a Supermarket for Its Use of Facial Recognition Technology | European Data Protection Board’ &lt;https://edpb.europa.eu/news/national-news/2021/dutch-dpa-issues-formal-warning-supermarket-its-use-facial-recognition_en&gt; accessed 10 July 2023. and Agencia Española de </w:t>
      </w:r>
      <w:proofErr w:type="spellStart"/>
      <w:r w:rsidRPr="00A847DA">
        <w:t>Protección</w:t>
      </w:r>
      <w:proofErr w:type="spellEnd"/>
      <w:r w:rsidRPr="00A847DA">
        <w:t xml:space="preserve"> de Datos, Procedure PS/00120/2021</w:t>
      </w:r>
    </w:p>
    <w:p w14:paraId="606E8B45" w14:textId="77777777" w:rsidR="00A847DA" w:rsidRPr="00A847DA" w:rsidRDefault="00A847DA" w:rsidP="00A847DA">
      <w:hyperlink r:id="rId115" w:anchor="ftnt_ref49" w:history="1">
        <w:r w:rsidRPr="00A847DA">
          <w:rPr>
            <w:rStyle w:val="Hyperlink"/>
          </w:rPr>
          <w:t>[49]</w:t>
        </w:r>
      </w:hyperlink>
      <w:r w:rsidRPr="00A847DA">
        <w:t> </w:t>
      </w:r>
      <w:proofErr w:type="spellStart"/>
      <w:r w:rsidRPr="00A847DA">
        <w:t>Comissão</w:t>
      </w:r>
      <w:proofErr w:type="spellEnd"/>
      <w:r w:rsidRPr="00A847DA">
        <w:t xml:space="preserve"> Nacional de </w:t>
      </w:r>
      <w:proofErr w:type="spellStart"/>
      <w:r w:rsidRPr="00A847DA">
        <w:t>Proteção</w:t>
      </w:r>
      <w:proofErr w:type="spellEnd"/>
      <w:r w:rsidRPr="00A847DA">
        <w:t xml:space="preserve"> de Dados, </w:t>
      </w:r>
      <w:proofErr w:type="spellStart"/>
      <w:r w:rsidRPr="00A847DA">
        <w:t>Deliberação</w:t>
      </w:r>
      <w:proofErr w:type="spellEnd"/>
      <w:r w:rsidRPr="00A847DA">
        <w:t>/2020/</w:t>
      </w:r>
      <w:proofErr w:type="gramStart"/>
      <w:r w:rsidRPr="00A847DA">
        <w:t>292;  ‘</w:t>
      </w:r>
      <w:proofErr w:type="gramEnd"/>
      <w:r w:rsidRPr="00A847DA">
        <w:t>Danish DPA Approves Automated Facial Recognition’ (European Digital Rights (</w:t>
      </w:r>
      <w:proofErr w:type="spellStart"/>
      <w:r w:rsidRPr="00A847DA">
        <w:t>EDRi</w:t>
      </w:r>
      <w:proofErr w:type="spellEnd"/>
      <w:r w:rsidRPr="00A847DA">
        <w:t xml:space="preserve">)) &lt;https://edri.org/our-work/danish-dpa-approves-automated-facial-recognition/&gt; accessed 15 July 2023. and Catherine Jasserand, ‘Yellow Card to a French Football Club: No Facial Recognition System to Monitor Their Supporters!’ (CITIP blog, 30 March 2021) </w:t>
      </w:r>
      <w:r w:rsidRPr="00A847DA">
        <w:lastRenderedPageBreak/>
        <w:t>&lt;https://www.law.kuleuven.be/citip/blog/yellow-card-to-a-french-football-club/&gt; accessed 15 July 2023.</w:t>
      </w:r>
    </w:p>
    <w:p w14:paraId="0BE1B694" w14:textId="77777777" w:rsidR="00A847DA" w:rsidRPr="00A847DA" w:rsidRDefault="00A847DA" w:rsidP="00A847DA">
      <w:hyperlink r:id="rId116" w:anchor="ftnt_ref50" w:history="1">
        <w:r w:rsidRPr="00A847DA">
          <w:rPr>
            <w:rStyle w:val="Hyperlink"/>
          </w:rPr>
          <w:t>[50]</w:t>
        </w:r>
      </w:hyperlink>
      <w:r w:rsidRPr="00A847DA">
        <w:t xml:space="preserve"> According to WIRED, in September 2018, FRT allowed the Brescia police to stop two burglars, suspected of breaking into a house in the Lombardy province at the end of July 2018 (‘Come (Non) </w:t>
      </w:r>
      <w:proofErr w:type="spellStart"/>
      <w:r w:rsidRPr="00A847DA">
        <w:t>Funziona</w:t>
      </w:r>
      <w:proofErr w:type="spellEnd"/>
      <w:r w:rsidRPr="00A847DA">
        <w:t xml:space="preserve"> Il Sistema Sari Di </w:t>
      </w:r>
      <w:proofErr w:type="spellStart"/>
      <w:r w:rsidRPr="00A847DA">
        <w:t>Riconoscimento</w:t>
      </w:r>
      <w:proofErr w:type="spellEnd"/>
      <w:r w:rsidRPr="00A847DA">
        <w:t xml:space="preserve"> Facciale | Wired Italia’ &lt;https://www.wired.it/attualita/tech/2018/09/27/sari-riconoscimento-facciale/&gt; accessed 15 July 2023.)</w:t>
      </w:r>
    </w:p>
    <w:p w14:paraId="6D25FD71" w14:textId="77777777" w:rsidR="00A847DA" w:rsidRPr="00A847DA" w:rsidRDefault="00A847DA" w:rsidP="00A847DA">
      <w:hyperlink r:id="rId117" w:anchor="ftnt_ref51" w:history="1">
        <w:r w:rsidRPr="00A847DA">
          <w:rPr>
            <w:rStyle w:val="Hyperlink"/>
          </w:rPr>
          <w:t>[51]</w:t>
        </w:r>
      </w:hyperlink>
      <w:r w:rsidRPr="00A847DA">
        <w:t xml:space="preserve">  </w:t>
      </w:r>
      <w:proofErr w:type="spellStart"/>
      <w:r w:rsidRPr="00A847DA">
        <w:t>Glukhin</w:t>
      </w:r>
      <w:proofErr w:type="spellEnd"/>
      <w:r w:rsidRPr="00A847DA">
        <w:t xml:space="preserve"> v. Russia (n 2), para 77</w:t>
      </w:r>
    </w:p>
    <w:p w14:paraId="6578C24C" w14:textId="77777777" w:rsidR="00A847DA" w:rsidRPr="00A847DA" w:rsidRDefault="00A847DA" w:rsidP="00A847DA">
      <w:hyperlink r:id="rId118" w:anchor="ftnt_ref52" w:history="1">
        <w:r w:rsidRPr="00A847DA">
          <w:rPr>
            <w:rStyle w:val="Hyperlink"/>
          </w:rPr>
          <w:t>[52]</w:t>
        </w:r>
      </w:hyperlink>
      <w:r w:rsidRPr="00A847DA">
        <w:t> European Data Protection Board, Guidelines 8/2020 on the targeting of social media users, Version 2.0 Adopted on 13 April 2021 p</w:t>
      </w:r>
      <w:proofErr w:type="gramStart"/>
      <w:r w:rsidRPr="00A847DA">
        <w:t>. 36</w:t>
      </w:r>
      <w:proofErr w:type="gramEnd"/>
    </w:p>
    <w:p w14:paraId="64C2CD53" w14:textId="77777777" w:rsidR="00A847DA" w:rsidRPr="00A847DA" w:rsidRDefault="00A847DA" w:rsidP="00A847DA">
      <w:hyperlink r:id="rId119" w:anchor="ftnt_ref53" w:history="1">
        <w:r w:rsidRPr="00A847DA">
          <w:rPr>
            <w:rStyle w:val="Hyperlink"/>
          </w:rPr>
          <w:t>[53]</w:t>
        </w:r>
      </w:hyperlink>
      <w:r w:rsidRPr="00A847DA">
        <w:t> Article 29 Data Protection Working Party, Opinion on some key issues of the Law Enforcement Directive (EU 2016/680) (WP 258, 29/11/2017) p. 10</w:t>
      </w:r>
    </w:p>
    <w:p w14:paraId="204BE2B0" w14:textId="77777777" w:rsidR="00A847DA" w:rsidRPr="00A847DA" w:rsidRDefault="00A847DA" w:rsidP="00A847DA">
      <w:hyperlink r:id="rId120" w:anchor="ftnt_ref54" w:history="1">
        <w:r w:rsidRPr="00A847DA">
          <w:rPr>
            <w:rStyle w:val="Hyperlink"/>
          </w:rPr>
          <w:t>[54]</w:t>
        </w:r>
      </w:hyperlink>
      <w:r w:rsidRPr="00A847DA">
        <w:t> Kashmir Hill, ‘The Secretive Company That Might End Privacy as We Know It’ The New York Times (18 January 2020) &lt;https://www.nytimes.com/2020/01/18/technology/clearview-privacy-facial-recognition.html&gt; accessed 16 July 2023.</w:t>
      </w:r>
    </w:p>
    <w:p w14:paraId="1A44453E" w14:textId="77777777" w:rsidR="00A847DA" w:rsidRPr="00A847DA" w:rsidRDefault="00A847DA" w:rsidP="00A847DA">
      <w:hyperlink r:id="rId121" w:anchor="ftnt_ref55" w:history="1">
        <w:r w:rsidRPr="00A847DA">
          <w:rPr>
            <w:rStyle w:val="Hyperlink"/>
          </w:rPr>
          <w:t>[55]</w:t>
        </w:r>
      </w:hyperlink>
      <w:r w:rsidRPr="00A847DA">
        <w:t xml:space="preserve"> See, for instance, the use of FRT within public schools in France: Tribunal </w:t>
      </w:r>
      <w:proofErr w:type="spellStart"/>
      <w:r w:rsidRPr="00A847DA">
        <w:t>Administratif</w:t>
      </w:r>
      <w:proofErr w:type="spellEnd"/>
      <w:r w:rsidRPr="00A847DA">
        <w:t xml:space="preserve"> de Marseille (9ème chambre) N° 1901249 La Quadrature Du Net et </w:t>
      </w:r>
      <w:proofErr w:type="spellStart"/>
      <w:r w:rsidRPr="00A847DA">
        <w:t>autres</w:t>
      </w:r>
      <w:proofErr w:type="spellEnd"/>
      <w:r w:rsidRPr="00A847DA">
        <w:t xml:space="preserve"> (27 </w:t>
      </w:r>
      <w:proofErr w:type="spellStart"/>
      <w:r w:rsidRPr="00A847DA">
        <w:t>février</w:t>
      </w:r>
      <w:proofErr w:type="spellEnd"/>
      <w:r w:rsidRPr="00A847DA">
        <w:t xml:space="preserve"> 2020)</w:t>
      </w:r>
    </w:p>
    <w:p w14:paraId="4821240E" w14:textId="77777777" w:rsidR="00A847DA" w:rsidRPr="00A847DA" w:rsidRDefault="00A847DA" w:rsidP="00A847DA">
      <w:hyperlink r:id="rId122" w:anchor="ftnt_ref56" w:history="1">
        <w:r w:rsidRPr="00A847DA">
          <w:rPr>
            <w:rStyle w:val="Hyperlink"/>
          </w:rPr>
          <w:t>[56]</w:t>
        </w:r>
      </w:hyperlink>
      <w:r w:rsidRPr="00A847DA">
        <w:t> </w:t>
      </w:r>
      <w:r w:rsidRPr="00A847DA">
        <w:rPr>
          <w:i/>
          <w:iCs/>
        </w:rPr>
        <w:t>See among others, </w:t>
      </w:r>
      <w:r w:rsidRPr="00A847DA">
        <w:t xml:space="preserve">the landmark case </w:t>
      </w:r>
      <w:proofErr w:type="spellStart"/>
      <w:r w:rsidRPr="00A847DA">
        <w:t>Gäfgen</w:t>
      </w:r>
      <w:proofErr w:type="spellEnd"/>
      <w:r w:rsidRPr="00A847DA">
        <w:t xml:space="preserve"> v. Germany, 1.6.2010, Par. 179-180.</w:t>
      </w:r>
    </w:p>
    <w:p w14:paraId="3A710055" w14:textId="77777777" w:rsidR="00A847DA" w:rsidRPr="00A847DA" w:rsidRDefault="00A847DA" w:rsidP="00A847DA">
      <w:hyperlink r:id="rId123" w:anchor="ftnt_ref57" w:history="1">
        <w:r w:rsidRPr="00A847DA">
          <w:rPr>
            <w:rStyle w:val="Hyperlink"/>
          </w:rPr>
          <w:t>[57]</w:t>
        </w:r>
      </w:hyperlink>
      <w:r w:rsidRPr="00A847DA">
        <w:t xml:space="preserve"> See among others </w:t>
      </w:r>
      <w:proofErr w:type="spellStart"/>
      <w:r w:rsidRPr="00A847DA">
        <w:t>Quattrocolo</w:t>
      </w:r>
      <w:proofErr w:type="spellEnd"/>
      <w:r w:rsidRPr="00A847DA">
        <w:t xml:space="preserve"> S, Artificial Intelligence, Computational Modelling and Criminal Proceedings: A Framework for A European Legal Discussion (Springer International Publishing 2020); Palmiotto </w:t>
      </w:r>
      <w:proofErr w:type="gramStart"/>
      <w:r w:rsidRPr="00A847DA">
        <w:t>F, ‘</w:t>
      </w:r>
      <w:proofErr w:type="gramEnd"/>
      <w:r w:rsidRPr="00A847DA">
        <w:t xml:space="preserve">Artificial Intelligence and the Transformation of Criminal </w:t>
      </w:r>
      <w:proofErr w:type="gramStart"/>
      <w:r w:rsidRPr="00A847DA">
        <w:t>Trials</w:t>
      </w:r>
      <w:r w:rsidRPr="00A847DA">
        <w:rPr>
          <w:rFonts w:ascii="Arial" w:hAnsi="Arial" w:cs="Arial"/>
        </w:rPr>
        <w:t> </w:t>
      </w:r>
      <w:r w:rsidRPr="00A847DA">
        <w:t>:</w:t>
      </w:r>
      <w:proofErr w:type="gramEnd"/>
      <w:r w:rsidRPr="00A847DA">
        <w:t xml:space="preserve"> Preserving Fairness in Europe</w:t>
      </w:r>
      <w:r w:rsidRPr="00A847DA">
        <w:rPr>
          <w:rFonts w:ascii="Aptos" w:hAnsi="Aptos" w:cs="Aptos"/>
        </w:rPr>
        <w:t>’</w:t>
      </w:r>
      <w:r w:rsidRPr="00A847DA">
        <w:t xml:space="preserve"> (Thesis, European University Institute 2023).</w:t>
      </w:r>
    </w:p>
    <w:p w14:paraId="748AB868" w14:textId="77777777" w:rsidR="00EA0975" w:rsidRDefault="00EA0975"/>
    <w:sectPr w:rsidR="00EA09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7DA"/>
    <w:rsid w:val="00827463"/>
    <w:rsid w:val="00966651"/>
    <w:rsid w:val="00A847DA"/>
    <w:rsid w:val="00E00ABA"/>
    <w:rsid w:val="00EA0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64EFD"/>
  <w15:chartTrackingRefBased/>
  <w15:docId w15:val="{C37F9DD9-ED4E-4EBE-A5AD-6B6E0BE37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847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847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847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847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847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847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847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847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847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47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847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847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847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847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847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47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47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47DA"/>
    <w:rPr>
      <w:rFonts w:eastAsiaTheme="majorEastAsia" w:cstheme="majorBidi"/>
      <w:color w:val="272727" w:themeColor="text1" w:themeTint="D8"/>
    </w:rPr>
  </w:style>
  <w:style w:type="paragraph" w:styleId="Title">
    <w:name w:val="Title"/>
    <w:basedOn w:val="Normal"/>
    <w:next w:val="Normal"/>
    <w:link w:val="TitleChar"/>
    <w:uiPriority w:val="10"/>
    <w:qFormat/>
    <w:rsid w:val="00A847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47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47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47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47DA"/>
    <w:pPr>
      <w:spacing w:before="160"/>
      <w:jc w:val="center"/>
    </w:pPr>
    <w:rPr>
      <w:i/>
      <w:iCs/>
      <w:color w:val="404040" w:themeColor="text1" w:themeTint="BF"/>
    </w:rPr>
  </w:style>
  <w:style w:type="character" w:customStyle="1" w:styleId="QuoteChar">
    <w:name w:val="Quote Char"/>
    <w:basedOn w:val="DefaultParagraphFont"/>
    <w:link w:val="Quote"/>
    <w:uiPriority w:val="29"/>
    <w:rsid w:val="00A847DA"/>
    <w:rPr>
      <w:i/>
      <w:iCs/>
      <w:color w:val="404040" w:themeColor="text1" w:themeTint="BF"/>
    </w:rPr>
  </w:style>
  <w:style w:type="paragraph" w:styleId="ListParagraph">
    <w:name w:val="List Paragraph"/>
    <w:basedOn w:val="Normal"/>
    <w:uiPriority w:val="34"/>
    <w:qFormat/>
    <w:rsid w:val="00A847DA"/>
    <w:pPr>
      <w:ind w:left="720"/>
      <w:contextualSpacing/>
    </w:pPr>
  </w:style>
  <w:style w:type="character" w:styleId="IntenseEmphasis">
    <w:name w:val="Intense Emphasis"/>
    <w:basedOn w:val="DefaultParagraphFont"/>
    <w:uiPriority w:val="21"/>
    <w:qFormat/>
    <w:rsid w:val="00A847DA"/>
    <w:rPr>
      <w:i/>
      <w:iCs/>
      <w:color w:val="0F4761" w:themeColor="accent1" w:themeShade="BF"/>
    </w:rPr>
  </w:style>
  <w:style w:type="paragraph" w:styleId="IntenseQuote">
    <w:name w:val="Intense Quote"/>
    <w:basedOn w:val="Normal"/>
    <w:next w:val="Normal"/>
    <w:link w:val="IntenseQuoteChar"/>
    <w:uiPriority w:val="30"/>
    <w:qFormat/>
    <w:rsid w:val="00A847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847DA"/>
    <w:rPr>
      <w:i/>
      <w:iCs/>
      <w:color w:val="0F4761" w:themeColor="accent1" w:themeShade="BF"/>
    </w:rPr>
  </w:style>
  <w:style w:type="character" w:styleId="IntenseReference">
    <w:name w:val="Intense Reference"/>
    <w:basedOn w:val="DefaultParagraphFont"/>
    <w:uiPriority w:val="32"/>
    <w:qFormat/>
    <w:rsid w:val="00A847DA"/>
    <w:rPr>
      <w:b/>
      <w:bCs/>
      <w:smallCaps/>
      <w:color w:val="0F4761" w:themeColor="accent1" w:themeShade="BF"/>
      <w:spacing w:val="5"/>
    </w:rPr>
  </w:style>
  <w:style w:type="character" w:styleId="Hyperlink">
    <w:name w:val="Hyperlink"/>
    <w:basedOn w:val="DefaultParagraphFont"/>
    <w:uiPriority w:val="99"/>
    <w:unhideWhenUsed/>
    <w:rsid w:val="00A847DA"/>
    <w:rPr>
      <w:color w:val="467886" w:themeColor="hyperlink"/>
      <w:u w:val="single"/>
    </w:rPr>
  </w:style>
  <w:style w:type="character" w:styleId="UnresolvedMention">
    <w:name w:val="Unresolved Mention"/>
    <w:basedOn w:val="DefaultParagraphFont"/>
    <w:uiPriority w:val="99"/>
    <w:semiHidden/>
    <w:unhideWhenUsed/>
    <w:rsid w:val="00A847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cs.google.com/document/u/0/d/1InylllbFa6Df9e05_rqksY04Z6C9dTVqEn-xfjL2eRY/mobilebasic?pli=1" TargetMode="External"/><Relationship Id="rId117" Type="http://schemas.openxmlformats.org/officeDocument/2006/relationships/hyperlink" Target="https://docs.google.com/document/u/0/d/1InylllbFa6Df9e05_rqksY04Z6C9dTVqEn-xfjL2eRY/mobilebasic?pli=1" TargetMode="External"/><Relationship Id="rId21" Type="http://schemas.openxmlformats.org/officeDocument/2006/relationships/hyperlink" Target="https://docs.google.com/document/u/0/d/1InylllbFa6Df9e05_rqksY04Z6C9dTVqEn-xfjL2eRY/mobilebasic?pli=1" TargetMode="External"/><Relationship Id="rId42" Type="http://schemas.openxmlformats.org/officeDocument/2006/relationships/hyperlink" Target="https://docs.google.com/document/u/0/d/1InylllbFa6Df9e05_rqksY04Z6C9dTVqEn-xfjL2eRY/mobilebasic?pli=1" TargetMode="External"/><Relationship Id="rId47" Type="http://schemas.openxmlformats.org/officeDocument/2006/relationships/hyperlink" Target="https://docs.google.com/document/u/0/d/1InylllbFa6Df9e05_rqksY04Z6C9dTVqEn-xfjL2eRY/mobilebasic?pli=1" TargetMode="External"/><Relationship Id="rId63" Type="http://schemas.openxmlformats.org/officeDocument/2006/relationships/hyperlink" Target="https://docs.google.com/document/u/0/d/1InylllbFa6Df9e05_rqksY04Z6C9dTVqEn-xfjL2eRY/mobilebasic?pli=1" TargetMode="External"/><Relationship Id="rId68" Type="http://schemas.openxmlformats.org/officeDocument/2006/relationships/hyperlink" Target="https://docs.google.com/document/u/0/d/1InylllbFa6Df9e05_rqksY04Z6C9dTVqEn-xfjL2eRY/mobilebasic?pli=1" TargetMode="External"/><Relationship Id="rId84" Type="http://schemas.openxmlformats.org/officeDocument/2006/relationships/hyperlink" Target="https://docs.google.com/document/u/0/d/1InylllbFa6Df9e05_rqksY04Z6C9dTVqEn-xfjL2eRY/mobilebasic?pli=1" TargetMode="External"/><Relationship Id="rId89" Type="http://schemas.openxmlformats.org/officeDocument/2006/relationships/hyperlink" Target="https://docs.google.com/document/u/0/d/1InylllbFa6Df9e05_rqksY04Z6C9dTVqEn-xfjL2eRY/mobilebasic?pli=1" TargetMode="External"/><Relationship Id="rId112" Type="http://schemas.openxmlformats.org/officeDocument/2006/relationships/hyperlink" Target="https://www.google.com/url?q=https://www.google.com/url?q%3Dhttps://bigbrotherwatch.org.uk/campaigns/stop-facial-recognition/%2523breadcrumb%26sa%3DD%26source%3Ddocs%26ust%3D1689587465251964%26usg%3DAOvVaw1QA34nKofGCLH8VXMGaTDn&amp;sa=D&amp;source=editors&amp;ust=1771346300700822&amp;usg=AOvVaw2R5Qyg7G_1sK4rTYKoOP3d" TargetMode="External"/><Relationship Id="rId16" Type="http://schemas.openxmlformats.org/officeDocument/2006/relationships/hyperlink" Target="https://docs.google.com/document/u/0/d/1InylllbFa6Df9e05_rqksY04Z6C9dTVqEn-xfjL2eRY/mobilebasic?pli=1" TargetMode="External"/><Relationship Id="rId107" Type="http://schemas.openxmlformats.org/officeDocument/2006/relationships/hyperlink" Target="https://docs.google.com/document/u/0/d/1InylllbFa6Df9e05_rqksY04Z6C9dTVqEn-xfjL2eRY/mobilebasic?pli=1" TargetMode="External"/><Relationship Id="rId11" Type="http://schemas.openxmlformats.org/officeDocument/2006/relationships/hyperlink" Target="https://docs.google.com/document/u/0/d/1InylllbFa6Df9e05_rqksY04Z6C9dTVqEn-xfjL2eRY/mobilebasic?pli=1" TargetMode="External"/><Relationship Id="rId32" Type="http://schemas.openxmlformats.org/officeDocument/2006/relationships/hyperlink" Target="https://docs.google.com/document/u/0/d/1InylllbFa6Df9e05_rqksY04Z6C9dTVqEn-xfjL2eRY/mobilebasic?pli=1" TargetMode="External"/><Relationship Id="rId37" Type="http://schemas.openxmlformats.org/officeDocument/2006/relationships/hyperlink" Target="https://docs.google.com/document/u/0/d/1InylllbFa6Df9e05_rqksY04Z6C9dTVqEn-xfjL2eRY/mobilebasic?pli=1" TargetMode="External"/><Relationship Id="rId53" Type="http://schemas.openxmlformats.org/officeDocument/2006/relationships/hyperlink" Target="https://docs.google.com/document/u/0/d/1InylllbFa6Df9e05_rqksY04Z6C9dTVqEn-xfjL2eRY/mobilebasic?pli=1" TargetMode="External"/><Relationship Id="rId58" Type="http://schemas.openxmlformats.org/officeDocument/2006/relationships/hyperlink" Target="https://docs.google.com/document/u/0/d/1InylllbFa6Df9e05_rqksY04Z6C9dTVqEn-xfjL2eRY/mobilebasic?pli=1" TargetMode="External"/><Relationship Id="rId74" Type="http://schemas.openxmlformats.org/officeDocument/2006/relationships/hyperlink" Target="https://docs.google.com/document/u/0/d/1InylllbFa6Df9e05_rqksY04Z6C9dTVqEn-xfjL2eRY/mobilebasic?pli=1" TargetMode="External"/><Relationship Id="rId79" Type="http://schemas.openxmlformats.org/officeDocument/2006/relationships/hyperlink" Target="https://docs.google.com/document/u/0/d/1InylllbFa6Df9e05_rqksY04Z6C9dTVqEn-xfjL2eRY/mobilebasic?pli=1" TargetMode="External"/><Relationship Id="rId102" Type="http://schemas.openxmlformats.org/officeDocument/2006/relationships/hyperlink" Target="https://www.google.com/url?q=https://www.giswatch.org/node/6165&amp;sa=D&amp;source=editors&amp;ust=1771346300697572&amp;usg=AOvVaw2YOfzDxuFfNt4WyYkGrqYC" TargetMode="External"/><Relationship Id="rId123" Type="http://schemas.openxmlformats.org/officeDocument/2006/relationships/hyperlink" Target="https://docs.google.com/document/u/0/d/1InylllbFa6Df9e05_rqksY04Z6C9dTVqEn-xfjL2eRY/mobilebasic?pli=1" TargetMode="External"/><Relationship Id="rId5" Type="http://schemas.openxmlformats.org/officeDocument/2006/relationships/hyperlink" Target="https://docs.google.com/document/u/0/d/1InylllbFa6Df9e05_rqksY04Z6C9dTVqEn-xfjL2eRY/mobilebasic?pli=1" TargetMode="External"/><Relationship Id="rId90" Type="http://schemas.openxmlformats.org/officeDocument/2006/relationships/hyperlink" Target="https://docs.google.com/document/u/0/d/1InylllbFa6Df9e05_rqksY04Z6C9dTVqEn-xfjL2eRY/mobilebasic?pli=1" TargetMode="External"/><Relationship Id="rId95" Type="http://schemas.openxmlformats.org/officeDocument/2006/relationships/hyperlink" Target="https://docs.google.com/document/u/0/d/1InylllbFa6Df9e05_rqksY04Z6C9dTVqEn-xfjL2eRY/mobilebasic?pli=1" TargetMode="External"/><Relationship Id="rId22" Type="http://schemas.openxmlformats.org/officeDocument/2006/relationships/hyperlink" Target="https://docs.google.com/document/u/0/d/1InylllbFa6Df9e05_rqksY04Z6C9dTVqEn-xfjL2eRY/mobilebasic?pli=1" TargetMode="External"/><Relationship Id="rId27" Type="http://schemas.openxmlformats.org/officeDocument/2006/relationships/hyperlink" Target="https://docs.google.com/document/u/0/d/1InylllbFa6Df9e05_rqksY04Z6C9dTVqEn-xfjL2eRY/mobilebasic?pli=1" TargetMode="External"/><Relationship Id="rId43" Type="http://schemas.openxmlformats.org/officeDocument/2006/relationships/hyperlink" Target="https://docs.google.com/document/u/0/d/1InylllbFa6Df9e05_rqksY04Z6C9dTVqEn-xfjL2eRY/mobilebasic?pli=1" TargetMode="External"/><Relationship Id="rId48" Type="http://schemas.openxmlformats.org/officeDocument/2006/relationships/hyperlink" Target="https://docs.google.com/document/u/0/d/1InylllbFa6Df9e05_rqksY04Z6C9dTVqEn-xfjL2eRY/mobilebasic?pli=1" TargetMode="External"/><Relationship Id="rId64" Type="http://schemas.openxmlformats.org/officeDocument/2006/relationships/hyperlink" Target="https://docs.google.com/document/u/0/d/1InylllbFa6Df9e05_rqksY04Z6C9dTVqEn-xfjL2eRY/mobilebasic?pli=1" TargetMode="External"/><Relationship Id="rId69" Type="http://schemas.openxmlformats.org/officeDocument/2006/relationships/hyperlink" Target="https://docs.google.com/document/u/0/d/1InylllbFa6Df9e05_rqksY04Z6C9dTVqEn-xfjL2eRY/mobilebasic?pli=1" TargetMode="External"/><Relationship Id="rId113" Type="http://schemas.openxmlformats.org/officeDocument/2006/relationships/hyperlink" Target="https://docs.google.com/document/u/0/d/1InylllbFa6Df9e05_rqksY04Z6C9dTVqEn-xfjL2eRY/mobilebasic?pli=1" TargetMode="External"/><Relationship Id="rId118" Type="http://schemas.openxmlformats.org/officeDocument/2006/relationships/hyperlink" Target="https://docs.google.com/document/u/0/d/1InylllbFa6Df9e05_rqksY04Z6C9dTVqEn-xfjL2eRY/mobilebasic?pli=1" TargetMode="External"/><Relationship Id="rId80" Type="http://schemas.openxmlformats.org/officeDocument/2006/relationships/hyperlink" Target="https://docs.google.com/document/u/0/d/1InylllbFa6Df9e05_rqksY04Z6C9dTVqEn-xfjL2eRY/mobilebasic?pli=1" TargetMode="External"/><Relationship Id="rId85" Type="http://schemas.openxmlformats.org/officeDocument/2006/relationships/hyperlink" Target="https://www.google.com/url?q=https://scholarship.law.bu.edu/faculty_scholarship/3066&amp;sa=D&amp;source=editors&amp;ust=1771346300681356&amp;usg=AOvVaw1bUgNo2jbJzfti4-tWgLmg" TargetMode="External"/><Relationship Id="rId12" Type="http://schemas.openxmlformats.org/officeDocument/2006/relationships/hyperlink" Target="https://docs.google.com/document/u/0/d/1InylllbFa6Df9e05_rqksY04Z6C9dTVqEn-xfjL2eRY/mobilebasic?pli=1" TargetMode="External"/><Relationship Id="rId17" Type="http://schemas.openxmlformats.org/officeDocument/2006/relationships/hyperlink" Target="https://docs.google.com/document/u/0/d/1InylllbFa6Df9e05_rqksY04Z6C9dTVqEn-xfjL2eRY/mobilebasic?pli=1" TargetMode="External"/><Relationship Id="rId33" Type="http://schemas.openxmlformats.org/officeDocument/2006/relationships/hyperlink" Target="https://docs.google.com/document/u/0/d/1InylllbFa6Df9e05_rqksY04Z6C9dTVqEn-xfjL2eRY/mobilebasic?pli=1" TargetMode="External"/><Relationship Id="rId38" Type="http://schemas.openxmlformats.org/officeDocument/2006/relationships/hyperlink" Target="https://docs.google.com/document/u/0/d/1InylllbFa6Df9e05_rqksY04Z6C9dTVqEn-xfjL2eRY/mobilebasic?pli=1" TargetMode="External"/><Relationship Id="rId59" Type="http://schemas.openxmlformats.org/officeDocument/2006/relationships/hyperlink" Target="https://docs.google.com/document/u/0/d/1InylllbFa6Df9e05_rqksY04Z6C9dTVqEn-xfjL2eRY/mobilebasic?pli=1" TargetMode="External"/><Relationship Id="rId103" Type="http://schemas.openxmlformats.org/officeDocument/2006/relationships/hyperlink" Target="https://www.google.com/url?q=https://doi.org/10.21428/2c646de5.37712c5c&amp;sa=D&amp;source=editors&amp;ust=1771346300698407&amp;usg=AOvVaw23r-MECmJqrLTgvITTU5sq" TargetMode="External"/><Relationship Id="rId108" Type="http://schemas.openxmlformats.org/officeDocument/2006/relationships/hyperlink" Target="https://docs.google.com/document/u/0/d/1InylllbFa6Df9e05_rqksY04Z6C9dTVqEn-xfjL2eRY/mobilebasic?pli=1" TargetMode="External"/><Relationship Id="rId124" Type="http://schemas.openxmlformats.org/officeDocument/2006/relationships/fontTable" Target="fontTable.xml"/><Relationship Id="rId54" Type="http://schemas.openxmlformats.org/officeDocument/2006/relationships/hyperlink" Target="https://docs.google.com/document/u/0/d/1InylllbFa6Df9e05_rqksY04Z6C9dTVqEn-xfjL2eRY/mobilebasic?pli=1" TargetMode="External"/><Relationship Id="rId70" Type="http://schemas.openxmlformats.org/officeDocument/2006/relationships/hyperlink" Target="https://docs.google.com/document/u/0/d/1InylllbFa6Df9e05_rqksY04Z6C9dTVqEn-xfjL2eRY/mobilebasic?pli=1" TargetMode="External"/><Relationship Id="rId75" Type="http://schemas.openxmlformats.org/officeDocument/2006/relationships/hyperlink" Target="https://docs.google.com/document/u/0/d/1InylllbFa6Df9e05_rqksY04Z6C9dTVqEn-xfjL2eRY/mobilebasic?pli=1" TargetMode="External"/><Relationship Id="rId91" Type="http://schemas.openxmlformats.org/officeDocument/2006/relationships/hyperlink" Target="https://docs.google.com/document/u/0/d/1InylllbFa6Df9e05_rqksY04Z6C9dTVqEn-xfjL2eRY/mobilebasic?pli=1" TargetMode="External"/><Relationship Id="rId96" Type="http://schemas.openxmlformats.org/officeDocument/2006/relationships/hyperlink" Target="https://docs.google.com/document/u/0/d/1InylllbFa6Df9e05_rqksY04Z6C9dTVqEn-xfjL2eRY/mobilebasic?pli=1" TargetMode="External"/><Relationship Id="rId1" Type="http://schemas.openxmlformats.org/officeDocument/2006/relationships/styles" Target="styles.xml"/><Relationship Id="rId6" Type="http://schemas.openxmlformats.org/officeDocument/2006/relationships/hyperlink" Target="https://docs.google.com/document/u/0/d/1InylllbFa6Df9e05_rqksY04Z6C9dTVqEn-xfjL2eRY/mobilebasic?pli=1" TargetMode="External"/><Relationship Id="rId23" Type="http://schemas.openxmlformats.org/officeDocument/2006/relationships/hyperlink" Target="https://docs.google.com/document/u/0/d/1InylllbFa6Df9e05_rqksY04Z6C9dTVqEn-xfjL2eRY/mobilebasic?pli=1" TargetMode="External"/><Relationship Id="rId28" Type="http://schemas.openxmlformats.org/officeDocument/2006/relationships/hyperlink" Target="https://docs.google.com/document/u/0/d/1InylllbFa6Df9e05_rqksY04Z6C9dTVqEn-xfjL2eRY/mobilebasic?pli=1" TargetMode="External"/><Relationship Id="rId49" Type="http://schemas.openxmlformats.org/officeDocument/2006/relationships/hyperlink" Target="https://docs.google.com/document/u/0/d/1InylllbFa6Df9e05_rqksY04Z6C9dTVqEn-xfjL2eRY/mobilebasic?pli=1" TargetMode="External"/><Relationship Id="rId114" Type="http://schemas.openxmlformats.org/officeDocument/2006/relationships/hyperlink" Target="https://docs.google.com/document/u/0/d/1InylllbFa6Df9e05_rqksY04Z6C9dTVqEn-xfjL2eRY/mobilebasic?pli=1" TargetMode="External"/><Relationship Id="rId119" Type="http://schemas.openxmlformats.org/officeDocument/2006/relationships/hyperlink" Target="https://docs.google.com/document/u/0/d/1InylllbFa6Df9e05_rqksY04Z6C9dTVqEn-xfjL2eRY/mobilebasic?pli=1" TargetMode="External"/><Relationship Id="rId44" Type="http://schemas.openxmlformats.org/officeDocument/2006/relationships/hyperlink" Target="https://docs.google.com/document/u/0/d/1InylllbFa6Df9e05_rqksY04Z6C9dTVqEn-xfjL2eRY/mobilebasic?pli=1" TargetMode="External"/><Relationship Id="rId60" Type="http://schemas.openxmlformats.org/officeDocument/2006/relationships/hyperlink" Target="https://docs.google.com/document/u/0/d/1InylllbFa6Df9e05_rqksY04Z6C9dTVqEn-xfjL2eRY/mobilebasic?pli=1" TargetMode="External"/><Relationship Id="rId65" Type="http://schemas.openxmlformats.org/officeDocument/2006/relationships/hyperlink" Target="https://docs.google.com/document/u/0/d/1InylllbFa6Df9e05_rqksY04Z6C9dTVqEn-xfjL2eRY/mobilebasic?pli=1" TargetMode="External"/><Relationship Id="rId81" Type="http://schemas.openxmlformats.org/officeDocument/2006/relationships/hyperlink" Target="https://docs.google.com/document/u/0/d/1InylllbFa6Df9e05_rqksY04Z6C9dTVqEn-xfjL2eRY/mobilebasic?pli=1" TargetMode="External"/><Relationship Id="rId86" Type="http://schemas.openxmlformats.org/officeDocument/2006/relationships/hyperlink" Target="https://docs.google.com/document/u/0/d/1InylllbFa6Df9e05_rqksY04Z6C9dTVqEn-xfjL2eRY/mobilebasic?pli=1" TargetMode="External"/><Relationship Id="rId13" Type="http://schemas.openxmlformats.org/officeDocument/2006/relationships/hyperlink" Target="https://docs.google.com/document/u/0/d/1InylllbFa6Df9e05_rqksY04Z6C9dTVqEn-xfjL2eRY/mobilebasic?pli=1" TargetMode="External"/><Relationship Id="rId18" Type="http://schemas.openxmlformats.org/officeDocument/2006/relationships/hyperlink" Target="https://docs.google.com/document/u/0/d/1InylllbFa6Df9e05_rqksY04Z6C9dTVqEn-xfjL2eRY/mobilebasic?pli=1" TargetMode="External"/><Relationship Id="rId39" Type="http://schemas.openxmlformats.org/officeDocument/2006/relationships/hyperlink" Target="https://docs.google.com/document/u/0/d/1InylllbFa6Df9e05_rqksY04Z6C9dTVqEn-xfjL2eRY/mobilebasic?pli=1" TargetMode="External"/><Relationship Id="rId109" Type="http://schemas.openxmlformats.org/officeDocument/2006/relationships/hyperlink" Target="https://docs.google.com/document/u/0/d/1InylllbFa6Df9e05_rqksY04Z6C9dTVqEn-xfjL2eRY/mobilebasic?pli=1" TargetMode="External"/><Relationship Id="rId34" Type="http://schemas.openxmlformats.org/officeDocument/2006/relationships/hyperlink" Target="https://docs.google.com/document/u/0/d/1InylllbFa6Df9e05_rqksY04Z6C9dTVqEn-xfjL2eRY/mobilebasic?pli=1" TargetMode="External"/><Relationship Id="rId50" Type="http://schemas.openxmlformats.org/officeDocument/2006/relationships/hyperlink" Target="https://docs.google.com/document/u/0/d/1InylllbFa6Df9e05_rqksY04Z6C9dTVqEn-xfjL2eRY/mobilebasic?pli=1" TargetMode="External"/><Relationship Id="rId55" Type="http://schemas.openxmlformats.org/officeDocument/2006/relationships/hyperlink" Target="https://docs.google.com/document/u/0/d/1InylllbFa6Df9e05_rqksY04Z6C9dTVqEn-xfjL2eRY/mobilebasic?pli=1" TargetMode="External"/><Relationship Id="rId76" Type="http://schemas.openxmlformats.org/officeDocument/2006/relationships/hyperlink" Target="https://docs.google.com/document/u/0/d/1InylllbFa6Df9e05_rqksY04Z6C9dTVqEn-xfjL2eRY/mobilebasic?pli=1" TargetMode="External"/><Relationship Id="rId97" Type="http://schemas.openxmlformats.org/officeDocument/2006/relationships/hyperlink" Target="https://docs.google.com/document/u/0/d/1InylllbFa6Df9e05_rqksY04Z6C9dTVqEn-xfjL2eRY/mobilebasic?pli=1" TargetMode="External"/><Relationship Id="rId104" Type="http://schemas.openxmlformats.org/officeDocument/2006/relationships/hyperlink" Target="https://docs.google.com/document/u/0/d/1InylllbFa6Df9e05_rqksY04Z6C9dTVqEn-xfjL2eRY/mobilebasic?pli=1" TargetMode="External"/><Relationship Id="rId120" Type="http://schemas.openxmlformats.org/officeDocument/2006/relationships/hyperlink" Target="https://docs.google.com/document/u/0/d/1InylllbFa6Df9e05_rqksY04Z6C9dTVqEn-xfjL2eRY/mobilebasic?pli=1" TargetMode="External"/><Relationship Id="rId125" Type="http://schemas.openxmlformats.org/officeDocument/2006/relationships/theme" Target="theme/theme1.xml"/><Relationship Id="rId7" Type="http://schemas.openxmlformats.org/officeDocument/2006/relationships/hyperlink" Target="https://docs.google.com/document/u/0/d/1InylllbFa6Df9e05_rqksY04Z6C9dTVqEn-xfjL2eRY/mobilebasic?pli=1" TargetMode="External"/><Relationship Id="rId71" Type="http://schemas.openxmlformats.org/officeDocument/2006/relationships/hyperlink" Target="https://docs.google.com/document/u/0/d/1InylllbFa6Df9e05_rqksY04Z6C9dTVqEn-xfjL2eRY/mobilebasic?pli=1" TargetMode="External"/><Relationship Id="rId92" Type="http://schemas.openxmlformats.org/officeDocument/2006/relationships/hyperlink" Target="https://www.google.com/url?q=https://doi.org/10.1007/s10610-022-09512-y&amp;sa=D&amp;source=editors&amp;ust=1771346300696433&amp;usg=AOvVaw3ClJHQ2yHlWYnzpAvRzwCG" TargetMode="External"/><Relationship Id="rId2" Type="http://schemas.openxmlformats.org/officeDocument/2006/relationships/settings" Target="settings.xml"/><Relationship Id="rId29" Type="http://schemas.openxmlformats.org/officeDocument/2006/relationships/hyperlink" Target="https://docs.google.com/document/u/0/d/1InylllbFa6Df9e05_rqksY04Z6C9dTVqEn-xfjL2eRY/mobilebasic?pli=1" TargetMode="External"/><Relationship Id="rId24" Type="http://schemas.openxmlformats.org/officeDocument/2006/relationships/hyperlink" Target="https://docs.google.com/document/u/0/d/1InylllbFa6Df9e05_rqksY04Z6C9dTVqEn-xfjL2eRY/mobilebasic?pli=1" TargetMode="External"/><Relationship Id="rId40" Type="http://schemas.openxmlformats.org/officeDocument/2006/relationships/hyperlink" Target="https://docs.google.com/document/u/0/d/1InylllbFa6Df9e05_rqksY04Z6C9dTVqEn-xfjL2eRY/mobilebasic?pli=1" TargetMode="External"/><Relationship Id="rId45" Type="http://schemas.openxmlformats.org/officeDocument/2006/relationships/hyperlink" Target="https://docs.google.com/document/u/0/d/1InylllbFa6Df9e05_rqksY04Z6C9dTVqEn-xfjL2eRY/mobilebasic?pli=1" TargetMode="External"/><Relationship Id="rId66" Type="http://schemas.openxmlformats.org/officeDocument/2006/relationships/hyperlink" Target="https://docs.google.com/document/u/0/d/1InylllbFa6Df9e05_rqksY04Z6C9dTVqEn-xfjL2eRY/mobilebasic?pli=1" TargetMode="External"/><Relationship Id="rId87" Type="http://schemas.openxmlformats.org/officeDocument/2006/relationships/hyperlink" Target="https://docs.google.com/document/u/0/d/1InylllbFa6Df9e05_rqksY04Z6C9dTVqEn-xfjL2eRY/mobilebasic?pli=1" TargetMode="External"/><Relationship Id="rId110" Type="http://schemas.openxmlformats.org/officeDocument/2006/relationships/hyperlink" Target="https://docs.google.com/document/u/0/d/1InylllbFa6Df9e05_rqksY04Z6C9dTVqEn-xfjL2eRY/mobilebasic?pli=1" TargetMode="External"/><Relationship Id="rId115" Type="http://schemas.openxmlformats.org/officeDocument/2006/relationships/hyperlink" Target="https://docs.google.com/document/u/0/d/1InylllbFa6Df9e05_rqksY04Z6C9dTVqEn-xfjL2eRY/mobilebasic?pli=1" TargetMode="External"/><Relationship Id="rId61" Type="http://schemas.openxmlformats.org/officeDocument/2006/relationships/hyperlink" Target="https://docs.google.com/document/u/0/d/1InylllbFa6Df9e05_rqksY04Z6C9dTVqEn-xfjL2eRY/mobilebasic?pli=1" TargetMode="External"/><Relationship Id="rId82" Type="http://schemas.openxmlformats.org/officeDocument/2006/relationships/hyperlink" Target="https://docs.google.com/document/u/0/d/1InylllbFa6Df9e05_rqksY04Z6C9dTVqEn-xfjL2eRY/mobilebasic?pli=1" TargetMode="External"/><Relationship Id="rId19" Type="http://schemas.openxmlformats.org/officeDocument/2006/relationships/hyperlink" Target="https://docs.google.com/document/u/0/d/1InylllbFa6Df9e05_rqksY04Z6C9dTVqEn-xfjL2eRY/mobilebasic?pli=1" TargetMode="External"/><Relationship Id="rId14" Type="http://schemas.openxmlformats.org/officeDocument/2006/relationships/hyperlink" Target="https://docs.google.com/document/u/0/d/1InylllbFa6Df9e05_rqksY04Z6C9dTVqEn-xfjL2eRY/mobilebasic?pli=1" TargetMode="External"/><Relationship Id="rId30" Type="http://schemas.openxmlformats.org/officeDocument/2006/relationships/hyperlink" Target="https://docs.google.com/document/u/0/d/1InylllbFa6Df9e05_rqksY04Z6C9dTVqEn-xfjL2eRY/mobilebasic?pli=1" TargetMode="External"/><Relationship Id="rId35" Type="http://schemas.openxmlformats.org/officeDocument/2006/relationships/hyperlink" Target="https://docs.google.com/document/u/0/d/1InylllbFa6Df9e05_rqksY04Z6C9dTVqEn-xfjL2eRY/mobilebasic?pli=1" TargetMode="External"/><Relationship Id="rId56" Type="http://schemas.openxmlformats.org/officeDocument/2006/relationships/hyperlink" Target="https://docs.google.com/document/u/0/d/1InylllbFa6Df9e05_rqksY04Z6C9dTVqEn-xfjL2eRY/mobilebasic?pli=1" TargetMode="External"/><Relationship Id="rId77" Type="http://schemas.openxmlformats.org/officeDocument/2006/relationships/hyperlink" Target="https://docs.google.com/document/u/0/d/1InylllbFa6Df9e05_rqksY04Z6C9dTVqEn-xfjL2eRY/mobilebasic?pli=1" TargetMode="External"/><Relationship Id="rId100" Type="http://schemas.openxmlformats.org/officeDocument/2006/relationships/hyperlink" Target="https://docs.google.com/document/u/0/d/1InylllbFa6Df9e05_rqksY04Z6C9dTVqEn-xfjL2eRY/mobilebasic?pli=1" TargetMode="External"/><Relationship Id="rId105" Type="http://schemas.openxmlformats.org/officeDocument/2006/relationships/hyperlink" Target="https://docs.google.com/document/u/0/d/1InylllbFa6Df9e05_rqksY04Z6C9dTVqEn-xfjL2eRY/mobilebasic?pli=1" TargetMode="External"/><Relationship Id="rId8" Type="http://schemas.openxmlformats.org/officeDocument/2006/relationships/hyperlink" Target="https://docs.google.com/document/u/0/d/1InylllbFa6Df9e05_rqksY04Z6C9dTVqEn-xfjL2eRY/mobilebasic?pli=1" TargetMode="External"/><Relationship Id="rId51" Type="http://schemas.openxmlformats.org/officeDocument/2006/relationships/hyperlink" Target="https://docs.google.com/document/u/0/d/1InylllbFa6Df9e05_rqksY04Z6C9dTVqEn-xfjL2eRY/mobilebasic?pli=1" TargetMode="External"/><Relationship Id="rId72" Type="http://schemas.openxmlformats.org/officeDocument/2006/relationships/hyperlink" Target="https://docs.google.com/document/u/0/d/1InylllbFa6Df9e05_rqksY04Z6C9dTVqEn-xfjL2eRY/mobilebasic?pli=1" TargetMode="External"/><Relationship Id="rId93" Type="http://schemas.openxmlformats.org/officeDocument/2006/relationships/hyperlink" Target="https://docs.google.com/document/u/0/d/1InylllbFa6Df9e05_rqksY04Z6C9dTVqEn-xfjL2eRY/mobilebasic?pli=1" TargetMode="External"/><Relationship Id="rId98" Type="http://schemas.openxmlformats.org/officeDocument/2006/relationships/hyperlink" Target="https://docs.google.com/document/u/0/d/1InylllbFa6Df9e05_rqksY04Z6C9dTVqEn-xfjL2eRY/mobilebasic?pli=1" TargetMode="External"/><Relationship Id="rId121" Type="http://schemas.openxmlformats.org/officeDocument/2006/relationships/hyperlink" Target="https://docs.google.com/document/u/0/d/1InylllbFa6Df9e05_rqksY04Z6C9dTVqEn-xfjL2eRY/mobilebasic?pli=1" TargetMode="External"/><Relationship Id="rId3" Type="http://schemas.openxmlformats.org/officeDocument/2006/relationships/webSettings" Target="webSettings.xml"/><Relationship Id="rId25" Type="http://schemas.openxmlformats.org/officeDocument/2006/relationships/hyperlink" Target="https://docs.google.com/document/u/0/d/1InylllbFa6Df9e05_rqksY04Z6C9dTVqEn-xfjL2eRY/mobilebasic?pli=1" TargetMode="External"/><Relationship Id="rId46" Type="http://schemas.openxmlformats.org/officeDocument/2006/relationships/hyperlink" Target="https://docs.google.com/document/u/0/d/1InylllbFa6Df9e05_rqksY04Z6C9dTVqEn-xfjL2eRY/mobilebasic?pli=1" TargetMode="External"/><Relationship Id="rId67" Type="http://schemas.openxmlformats.org/officeDocument/2006/relationships/hyperlink" Target="https://docs.google.com/document/u/0/d/1InylllbFa6Df9e05_rqksY04Z6C9dTVqEn-xfjL2eRY/mobilebasic?pli=1" TargetMode="External"/><Relationship Id="rId116" Type="http://schemas.openxmlformats.org/officeDocument/2006/relationships/hyperlink" Target="https://docs.google.com/document/u/0/d/1InylllbFa6Df9e05_rqksY04Z6C9dTVqEn-xfjL2eRY/mobilebasic?pli=1" TargetMode="External"/><Relationship Id="rId20" Type="http://schemas.openxmlformats.org/officeDocument/2006/relationships/hyperlink" Target="https://docs.google.com/document/u/0/d/1InylllbFa6Df9e05_rqksY04Z6C9dTVqEn-xfjL2eRY/mobilebasic?pli=1" TargetMode="External"/><Relationship Id="rId41" Type="http://schemas.openxmlformats.org/officeDocument/2006/relationships/hyperlink" Target="https://docs.google.com/document/u/0/d/1InylllbFa6Df9e05_rqksY04Z6C9dTVqEn-xfjL2eRY/mobilebasic?pli=1" TargetMode="External"/><Relationship Id="rId62" Type="http://schemas.openxmlformats.org/officeDocument/2006/relationships/hyperlink" Target="https://docs.google.com/document/u/0/d/1InylllbFa6Df9e05_rqksY04Z6C9dTVqEn-xfjL2eRY/mobilebasic?pli=1" TargetMode="External"/><Relationship Id="rId83" Type="http://schemas.openxmlformats.org/officeDocument/2006/relationships/hyperlink" Target="https://docs.google.com/document/u/0/d/1InylllbFa6Df9e05_rqksY04Z6C9dTVqEn-xfjL2eRY/mobilebasic?pli=1" TargetMode="External"/><Relationship Id="rId88" Type="http://schemas.openxmlformats.org/officeDocument/2006/relationships/hyperlink" Target="https://docs.google.com/document/u/0/d/1InylllbFa6Df9e05_rqksY04Z6C9dTVqEn-xfjL2eRY/mobilebasic?pli=1" TargetMode="External"/><Relationship Id="rId111" Type="http://schemas.openxmlformats.org/officeDocument/2006/relationships/hyperlink" Target="https://www.google.com/url?q=https://edri.org/our-work/blog-ban-biometric-mass-surveillance/&amp;sa=D&amp;source=editors&amp;ust=1771346300700378&amp;usg=AOvVaw37SUFDPPhaMIifErhoTL_T" TargetMode="External"/><Relationship Id="rId15" Type="http://schemas.openxmlformats.org/officeDocument/2006/relationships/hyperlink" Target="https://docs.google.com/document/u/0/d/1InylllbFa6Df9e05_rqksY04Z6C9dTVqEn-xfjL2eRY/mobilebasic?pli=1" TargetMode="External"/><Relationship Id="rId36" Type="http://schemas.openxmlformats.org/officeDocument/2006/relationships/hyperlink" Target="https://docs.google.com/document/u/0/d/1InylllbFa6Df9e05_rqksY04Z6C9dTVqEn-xfjL2eRY/mobilebasic?pli=1" TargetMode="External"/><Relationship Id="rId57" Type="http://schemas.openxmlformats.org/officeDocument/2006/relationships/hyperlink" Target="https://docs.google.com/document/u/0/d/1InylllbFa6Df9e05_rqksY04Z6C9dTVqEn-xfjL2eRY/mobilebasic?pli=1" TargetMode="External"/><Relationship Id="rId106" Type="http://schemas.openxmlformats.org/officeDocument/2006/relationships/hyperlink" Target="https://docs.google.com/document/u/0/d/1InylllbFa6Df9e05_rqksY04Z6C9dTVqEn-xfjL2eRY/mobilebasic?pli=1" TargetMode="External"/><Relationship Id="rId10" Type="http://schemas.openxmlformats.org/officeDocument/2006/relationships/hyperlink" Target="https://docs.google.com/document/u/0/d/1InylllbFa6Df9e05_rqksY04Z6C9dTVqEn-xfjL2eRY/mobilebasic?pli=1" TargetMode="External"/><Relationship Id="rId31" Type="http://schemas.openxmlformats.org/officeDocument/2006/relationships/hyperlink" Target="https://docs.google.com/document/u/0/d/1InylllbFa6Df9e05_rqksY04Z6C9dTVqEn-xfjL2eRY/mobilebasic?pli=1" TargetMode="External"/><Relationship Id="rId52" Type="http://schemas.openxmlformats.org/officeDocument/2006/relationships/hyperlink" Target="https://docs.google.com/document/u/0/d/1InylllbFa6Df9e05_rqksY04Z6C9dTVqEn-xfjL2eRY/mobilebasic?pli=1" TargetMode="External"/><Relationship Id="rId73" Type="http://schemas.openxmlformats.org/officeDocument/2006/relationships/hyperlink" Target="https://docs.google.com/document/u/0/d/1InylllbFa6Df9e05_rqksY04Z6C9dTVqEn-xfjL2eRY/mobilebasic?pli=1" TargetMode="External"/><Relationship Id="rId78" Type="http://schemas.openxmlformats.org/officeDocument/2006/relationships/hyperlink" Target="https://docs.google.com/document/u/0/d/1InylllbFa6Df9e05_rqksY04Z6C9dTVqEn-xfjL2eRY/mobilebasic?pli=1" TargetMode="External"/><Relationship Id="rId94" Type="http://schemas.openxmlformats.org/officeDocument/2006/relationships/hyperlink" Target="https://docs.google.com/document/u/0/d/1InylllbFa6Df9e05_rqksY04Z6C9dTVqEn-xfjL2eRY/mobilebasic?pli=1" TargetMode="External"/><Relationship Id="rId99" Type="http://schemas.openxmlformats.org/officeDocument/2006/relationships/hyperlink" Target="https://docs.google.com/document/u/0/d/1InylllbFa6Df9e05_rqksY04Z6C9dTVqEn-xfjL2eRY/mobilebasic?pli=1" TargetMode="External"/><Relationship Id="rId101" Type="http://schemas.openxmlformats.org/officeDocument/2006/relationships/hyperlink" Target="https://docs.google.com/document/u/0/d/1InylllbFa6Df9e05_rqksY04Z6C9dTVqEn-xfjL2eRY/mobilebasic?pli=1" TargetMode="External"/><Relationship Id="rId122" Type="http://schemas.openxmlformats.org/officeDocument/2006/relationships/hyperlink" Target="https://docs.google.com/document/u/0/d/1InylllbFa6Df9e05_rqksY04Z6C9dTVqEn-xfjL2eRY/mobilebasic?pli=1" TargetMode="External"/><Relationship Id="rId4" Type="http://schemas.openxmlformats.org/officeDocument/2006/relationships/hyperlink" Target="https://docs.google.com/document/u/0/d/1InylllbFa6Df9e05_rqksY04Z6C9dTVqEn-xfjL2eRY/mobilebasic?pli=1" TargetMode="External"/><Relationship Id="rId9" Type="http://schemas.openxmlformats.org/officeDocument/2006/relationships/hyperlink" Target="https://docs.google.com/document/u/0/d/1InylllbFa6Df9e05_rqksY04Z6C9dTVqEn-xfjL2eRY/mobilebasic?pli=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8597</Words>
  <Characters>49009</Characters>
  <Application>Microsoft Office Word</Application>
  <DocSecurity>0</DocSecurity>
  <Lines>408</Lines>
  <Paragraphs>114</Paragraphs>
  <ScaleCrop>false</ScaleCrop>
  <Company/>
  <LinksUpToDate>false</LinksUpToDate>
  <CharactersWithSpaces>57492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Menendez, Natalia</dc:creator>
  <cp:keywords/>
  <dc:description/>
  <cp:lastModifiedBy>Menendez, Natalia</cp:lastModifiedBy>
  <cp:revision>1</cp:revision>
  <dcterms:created xsi:type="dcterms:W3CDTF">2026-02-17T15:38:00Z</dcterms:created>
  <dcterms:modified xsi:type="dcterms:W3CDTF">2026-02-17T15:40:00Z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c8384cc6-3497-4e72-aa07-f19adb9e0cc4</vt:lpwstr>
  </property>
</Properties>
</file>