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F9355A" w14:textId="77777777" w:rsidR="0030333D" w:rsidRDefault="00000000">
      <w:pPr>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Mapping Liability of Origin and </w:t>
      </w:r>
      <w:proofErr w:type="spellStart"/>
      <w:r>
        <w:rPr>
          <w:rFonts w:ascii="Times New Roman" w:eastAsia="Times New Roman" w:hAnsi="Times New Roman" w:cs="Times New Roman"/>
          <w:b/>
          <w:color w:val="000000"/>
          <w:sz w:val="24"/>
          <w:szCs w:val="24"/>
        </w:rPr>
        <w:t>Mimetism</w:t>
      </w:r>
      <w:proofErr w:type="spellEnd"/>
      <w:r>
        <w:rPr>
          <w:rFonts w:ascii="Times New Roman" w:eastAsia="Times New Roman" w:hAnsi="Times New Roman" w:cs="Times New Roman"/>
          <w:b/>
          <w:color w:val="000000"/>
          <w:sz w:val="24"/>
          <w:szCs w:val="24"/>
        </w:rPr>
        <w:t xml:space="preserve"> in MNE </w:t>
      </w:r>
      <w:r>
        <w:rPr>
          <w:rFonts w:ascii="Times New Roman" w:eastAsia="Times New Roman" w:hAnsi="Times New Roman" w:cs="Times New Roman"/>
          <w:b/>
          <w:sz w:val="24"/>
          <w:szCs w:val="24"/>
        </w:rPr>
        <w:t>Engagement</w:t>
      </w:r>
      <w:r>
        <w:rPr>
          <w:rFonts w:ascii="Times New Roman" w:eastAsia="Times New Roman" w:hAnsi="Times New Roman" w:cs="Times New Roman"/>
          <w:b/>
          <w:color w:val="000000"/>
          <w:sz w:val="24"/>
          <w:szCs w:val="24"/>
        </w:rPr>
        <w:t xml:space="preserve"> Across the UN Sustainable Development Goals: An Analysis of Sustainability Reports</w:t>
      </w:r>
    </w:p>
    <w:p w14:paraId="34808075" w14:textId="77777777" w:rsidR="0030333D" w:rsidRDefault="0030333D">
      <w:pPr>
        <w:spacing w:line="480" w:lineRule="auto"/>
        <w:jc w:val="center"/>
        <w:rPr>
          <w:rFonts w:ascii="Times New Roman" w:eastAsia="Times New Roman" w:hAnsi="Times New Roman" w:cs="Times New Roman"/>
          <w:b/>
          <w:sz w:val="24"/>
          <w:szCs w:val="24"/>
        </w:rPr>
      </w:pPr>
    </w:p>
    <w:p w14:paraId="40CCDC46" w14:textId="77777777" w:rsidR="0030333D" w:rsidRDefault="00000000">
      <w:pPr>
        <w:spacing w:line="48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Abstract</w:t>
      </w:r>
    </w:p>
    <w:p w14:paraId="0E2B461F" w14:textId="77777777" w:rsidR="0030333D" w:rsidRDefault="0000000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United Nations' Sustainable Development Goals (SDGs) offer a comprehensive framework for global sustainable development, embraced by both UN member states and multinational enterprises (MNEs). The SDGs take a holistic approach and emphasize the need to align public and private sector actions. However, understanding the effectiveness of the SDG framework in coordinating stakeholder actions remains a challenge. This study explores how MNEs engage with the SDGs as a function of their home countries' SDG profiles. Leveraging institutional theory, we test competing mechanisms by analyzing sustainability reports from 150 MNEs across 23 countries. Our results suggest that MNEs' engagement with the SDGs aligns most closely with a "liability of origin" explanation, with firms showing greater SDG engagement when their home countries have lower progress on the SDGs. However, at the individual SDG level, the engagement patterns are more nuanced. Our findings have important implications for both theory and practice, providing insights into the complex dynamics that shape MNEs' engagement with the SDGs and offering guidance for policymakers and businesses seeking to enhance their contributions to sustainable development. </w:t>
      </w:r>
    </w:p>
    <w:p w14:paraId="2D2DBAD3" w14:textId="77777777" w:rsidR="0030333D" w:rsidRDefault="0030333D">
      <w:pPr>
        <w:spacing w:line="480" w:lineRule="auto"/>
        <w:jc w:val="both"/>
        <w:rPr>
          <w:rFonts w:ascii="Times New Roman" w:eastAsia="Times New Roman" w:hAnsi="Times New Roman" w:cs="Times New Roman"/>
          <w:sz w:val="24"/>
          <w:szCs w:val="24"/>
        </w:rPr>
      </w:pPr>
    </w:p>
    <w:p w14:paraId="4E6506E5" w14:textId="77777777" w:rsidR="0030333D" w:rsidRDefault="00000000">
      <w:pPr>
        <w:spacing w:line="480" w:lineRule="auto"/>
        <w:jc w:val="both"/>
        <w:rPr>
          <w:rFonts w:ascii="Times New Roman" w:eastAsia="Times New Roman" w:hAnsi="Times New Roman" w:cs="Times New Roman"/>
        </w:rPr>
      </w:pPr>
      <w:r>
        <w:rPr>
          <w:rFonts w:ascii="Times New Roman" w:eastAsia="Times New Roman" w:hAnsi="Times New Roman" w:cs="Times New Roman"/>
          <w:b/>
        </w:rPr>
        <w:t xml:space="preserve">Keyword </w:t>
      </w:r>
      <w:r>
        <w:rPr>
          <w:rFonts w:ascii="Times New Roman" w:eastAsia="Times New Roman" w:hAnsi="Times New Roman" w:cs="Times New Roman"/>
        </w:rPr>
        <w:t xml:space="preserve">Sustainable Development Goals (SDGs), Multinational Enterprises (MNEs), Institutional Theory, Home-country Institutional Profile, Liability of Origin. </w:t>
      </w:r>
    </w:p>
    <w:p w14:paraId="14C65BA8" w14:textId="77777777" w:rsidR="0030333D" w:rsidRDefault="0030333D">
      <w:pPr>
        <w:spacing w:line="480" w:lineRule="auto"/>
        <w:jc w:val="both"/>
        <w:rPr>
          <w:rFonts w:ascii="Times New Roman" w:eastAsia="Times New Roman" w:hAnsi="Times New Roman" w:cs="Times New Roman"/>
        </w:rPr>
      </w:pPr>
    </w:p>
    <w:p w14:paraId="18B6F50E" w14:textId="77777777" w:rsidR="0030333D" w:rsidRDefault="0030333D">
      <w:pPr>
        <w:spacing w:line="480" w:lineRule="auto"/>
        <w:jc w:val="both"/>
        <w:rPr>
          <w:rFonts w:ascii="Times New Roman" w:eastAsia="Times New Roman" w:hAnsi="Times New Roman" w:cs="Times New Roman"/>
        </w:rPr>
      </w:pPr>
    </w:p>
    <w:p w14:paraId="3DE3D654" w14:textId="77777777" w:rsidR="0030333D" w:rsidRDefault="0030333D">
      <w:pPr>
        <w:spacing w:line="480" w:lineRule="auto"/>
        <w:jc w:val="both"/>
        <w:rPr>
          <w:rFonts w:ascii="Times New Roman" w:eastAsia="Times New Roman" w:hAnsi="Times New Roman" w:cs="Times New Roman"/>
        </w:rPr>
      </w:pPr>
    </w:p>
    <w:p w14:paraId="68A22FDA" w14:textId="77777777" w:rsidR="0030333D" w:rsidRDefault="0030333D">
      <w:pPr>
        <w:rPr>
          <w:rFonts w:ascii="Times New Roman" w:eastAsia="Times New Roman" w:hAnsi="Times New Roman" w:cs="Times New Roman"/>
          <w:b/>
        </w:rPr>
      </w:pPr>
    </w:p>
    <w:p w14:paraId="3112A825" w14:textId="77777777" w:rsidR="0030333D" w:rsidRDefault="00000000">
      <w:pPr>
        <w:rPr>
          <w:rFonts w:ascii="Times New Roman" w:eastAsia="Times New Roman" w:hAnsi="Times New Roman" w:cs="Times New Roman"/>
          <w:b/>
        </w:rPr>
      </w:pPr>
      <w:r>
        <w:rPr>
          <w:rFonts w:ascii="Times New Roman" w:eastAsia="Times New Roman" w:hAnsi="Times New Roman" w:cs="Times New Roman"/>
          <w:b/>
        </w:rPr>
        <w:t>Introduction</w:t>
      </w:r>
    </w:p>
    <w:p w14:paraId="33C96723" w14:textId="77777777" w:rsidR="0030333D" w:rsidRDefault="0030333D">
      <w:pPr>
        <w:rPr>
          <w:rFonts w:ascii="Times New Roman" w:eastAsia="Times New Roman" w:hAnsi="Times New Roman" w:cs="Times New Roman"/>
          <w:b/>
        </w:rPr>
      </w:pPr>
    </w:p>
    <w:p w14:paraId="50867F6F" w14:textId="77777777" w:rsidR="0030333D" w:rsidRDefault="00000000">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The United Nations' Sustainable Development Goals (SDGs) offer a comprehensive framework for global sustainability, unanimously adopted by UN member states in 2015. These 17 goals guide the UN's 2030 Global Development Agenda (UN, 2014 par. 3; Scott &amp; Lucci, 2015). In contrast to prior initiatives like the Millennium Development Goals or the Global Compact, the SDGs embrace a holistic approach, outlining explicit, measurable goals, targets, and indicators (Bansal and Song, 2017; Eang, Clarke, &amp; Ordonez-Ponce, 2023; Ordonez-Ponce &amp; Talbot, 2023). They highlight the importance of aligning governments and businesses to tackle shared global challenges (Bebbington and </w:t>
      </w:r>
      <w:proofErr w:type="spellStart"/>
      <w:r>
        <w:rPr>
          <w:rFonts w:ascii="Times New Roman" w:eastAsia="Times New Roman" w:hAnsi="Times New Roman" w:cs="Times New Roman"/>
        </w:rPr>
        <w:t>Unerman</w:t>
      </w:r>
      <w:proofErr w:type="spellEnd"/>
      <w:r>
        <w:rPr>
          <w:rFonts w:ascii="Times New Roman" w:eastAsia="Times New Roman" w:hAnsi="Times New Roman" w:cs="Times New Roman"/>
        </w:rPr>
        <w:t xml:space="preserve">, 2018; Di Vaio and Varriale, 2020). Their potential to serve as a common benchmark for both country-level and organizational-level sustainability efforts is the distinguishing feature of the SDGs (van Zanten &amp; van </w:t>
      </w:r>
      <w:proofErr w:type="spellStart"/>
      <w:r>
        <w:rPr>
          <w:rFonts w:ascii="Times New Roman" w:eastAsia="Times New Roman" w:hAnsi="Times New Roman" w:cs="Times New Roman"/>
        </w:rPr>
        <w:t>Tulder</w:t>
      </w:r>
      <w:proofErr w:type="spellEnd"/>
      <w:r>
        <w:rPr>
          <w:rFonts w:ascii="Times New Roman" w:eastAsia="Times New Roman" w:hAnsi="Times New Roman" w:cs="Times New Roman"/>
        </w:rPr>
        <w:t>, 2018; Vazquez-Brust et al., 2020).</w:t>
      </w:r>
    </w:p>
    <w:p w14:paraId="52D3975F"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Despite the shared measurement approach and common language of the SDGs (Mio, Panfilo &amp; Blundo, 2020), this framework also has several limitations. First, it is voluntary, with no formal mechanisms for reward or punishment based on the level or nature of engagement, although some countries are beginning to use the SDGs as a basis for policy (Elder &amp; Bartalini, 2019). Second, the SDGs are clearly aspirational in that they promote systematic engagement across a staggeringly broad range of goals, which may not all be relevant at the company level. Finally, the SDGs present an epistemological challenge in that both systematically measuring engagement and linking this to tangible outcomes remains difficult and imprecise (</w:t>
      </w:r>
      <w:r>
        <w:rPr>
          <w:rFonts w:ascii="Times New Roman" w:eastAsia="Times New Roman" w:hAnsi="Times New Roman" w:cs="Times New Roman"/>
          <w:color w:val="222222"/>
          <w:highlight w:val="white"/>
        </w:rPr>
        <w:t xml:space="preserve">Sachs et al., 2019; </w:t>
      </w:r>
      <w:proofErr w:type="spellStart"/>
      <w:r>
        <w:rPr>
          <w:rFonts w:ascii="Times New Roman" w:eastAsia="Times New Roman" w:hAnsi="Times New Roman" w:cs="Times New Roman"/>
        </w:rPr>
        <w:t>Wijen</w:t>
      </w:r>
      <w:proofErr w:type="spellEnd"/>
      <w:r>
        <w:rPr>
          <w:rFonts w:ascii="Times New Roman" w:eastAsia="Times New Roman" w:hAnsi="Times New Roman" w:cs="Times New Roman"/>
        </w:rPr>
        <w:t>, 2014)</w:t>
      </w:r>
    </w:p>
    <w:p w14:paraId="1A62ED62"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Despite these challenges, there is a burgeoning literature centered on the SDGs, with emerging questions as to whether MNEs engage with the SDGs (Kolk, 2016; van der Waal &amp; </w:t>
      </w:r>
      <w:proofErr w:type="spellStart"/>
      <w:r>
        <w:rPr>
          <w:rFonts w:ascii="Times New Roman" w:eastAsia="Times New Roman" w:hAnsi="Times New Roman" w:cs="Times New Roman"/>
        </w:rPr>
        <w:t>Thijssens</w:t>
      </w:r>
      <w:proofErr w:type="spellEnd"/>
      <w:r>
        <w:rPr>
          <w:rFonts w:ascii="Times New Roman" w:eastAsia="Times New Roman" w:hAnsi="Times New Roman" w:cs="Times New Roman"/>
        </w:rPr>
        <w:t xml:space="preserve">, 2020) and how </w:t>
      </w:r>
      <w:proofErr w:type="gramStart"/>
      <w:r>
        <w:rPr>
          <w:rFonts w:ascii="Times New Roman" w:eastAsia="Times New Roman" w:hAnsi="Times New Roman" w:cs="Times New Roman"/>
        </w:rPr>
        <w:t>this changes</w:t>
      </w:r>
      <w:proofErr w:type="gramEnd"/>
      <w:r>
        <w:rPr>
          <w:rFonts w:ascii="Times New Roman" w:eastAsia="Times New Roman" w:hAnsi="Times New Roman" w:cs="Times New Roman"/>
        </w:rPr>
        <w:t xml:space="preserve"> over time (Bose &amp; Khan, 2022). Adding to these findings, scholars have also investigated some more nuanced SDG-oriented research questions, including comparison with other sustainability initiatives (van der Waal &amp; </w:t>
      </w:r>
      <w:proofErr w:type="spellStart"/>
      <w:r>
        <w:rPr>
          <w:rFonts w:ascii="Times New Roman" w:eastAsia="Times New Roman" w:hAnsi="Times New Roman" w:cs="Times New Roman"/>
        </w:rPr>
        <w:t>Thijssens</w:t>
      </w:r>
      <w:proofErr w:type="spellEnd"/>
      <w:r>
        <w:rPr>
          <w:rFonts w:ascii="Times New Roman" w:eastAsia="Times New Roman" w:hAnsi="Times New Roman" w:cs="Times New Roman"/>
        </w:rPr>
        <w:t xml:space="preserve">, 2020), the level of internationalization and the country of origin (van Zanten &amp; Van </w:t>
      </w:r>
      <w:proofErr w:type="spellStart"/>
      <w:r>
        <w:rPr>
          <w:rFonts w:ascii="Times New Roman" w:eastAsia="Times New Roman" w:hAnsi="Times New Roman" w:cs="Times New Roman"/>
        </w:rPr>
        <w:t>Tulder</w:t>
      </w:r>
      <w:proofErr w:type="spellEnd"/>
      <w:r>
        <w:rPr>
          <w:rFonts w:ascii="Times New Roman" w:eastAsia="Times New Roman" w:hAnsi="Times New Roman" w:cs="Times New Roman"/>
        </w:rPr>
        <w:t xml:space="preserve">, 2018), the national institutional characteristics (Rosati and Faria, 2019), and the </w:t>
      </w:r>
      <w:r>
        <w:rPr>
          <w:rFonts w:ascii="Times New Roman" w:eastAsia="Times New Roman" w:hAnsi="Times New Roman" w:cs="Times New Roman"/>
        </w:rPr>
        <w:lastRenderedPageBreak/>
        <w:t>industry setting (Whittingham et al, 2023). Although these studies represent meaningful progress in understanding business engagement with SDGs, scholars have called for further investigation (</w:t>
      </w:r>
      <w:proofErr w:type="spellStart"/>
      <w:r>
        <w:rPr>
          <w:rFonts w:ascii="Times New Roman" w:eastAsia="Times New Roman" w:hAnsi="Times New Roman" w:cs="Times New Roman"/>
        </w:rPr>
        <w:t>Bhose</w:t>
      </w:r>
      <w:proofErr w:type="spellEnd"/>
      <w:r>
        <w:rPr>
          <w:rFonts w:ascii="Times New Roman" w:eastAsia="Times New Roman" w:hAnsi="Times New Roman" w:cs="Times New Roman"/>
        </w:rPr>
        <w:t xml:space="preserve"> &amp; Khan, 2022, p.2). This study contributes to these ongoing efforts by examining two interrelated questions that have not been directly addressed in previous research: </w:t>
      </w:r>
      <w:r>
        <w:rPr>
          <w:rFonts w:ascii="Times New Roman" w:eastAsia="Times New Roman" w:hAnsi="Times New Roman" w:cs="Times New Roman"/>
          <w:i/>
        </w:rPr>
        <w:t>Are the SDGs meeting their objective of aligning private (MNEs) and public (country-level) sustainability efforts? And, through what mechanisms?</w:t>
      </w:r>
      <w:r>
        <w:rPr>
          <w:rFonts w:ascii="Times New Roman" w:eastAsia="Times New Roman" w:hAnsi="Times New Roman" w:cs="Times New Roman"/>
        </w:rPr>
        <w:t xml:space="preserve"> Answering this question is of importance as scholars have recognized an incongruity between country-level sustainable development goals and corporate sustainability efforts, noting the former's macro focus and the latter's micro perspective (</w:t>
      </w:r>
      <w:proofErr w:type="spellStart"/>
      <w:r>
        <w:rPr>
          <w:rFonts w:ascii="Times New Roman" w:eastAsia="Times New Roman" w:hAnsi="Times New Roman" w:cs="Times New Roman"/>
        </w:rPr>
        <w:t>Dyllick</w:t>
      </w:r>
      <w:proofErr w:type="spellEnd"/>
      <w:r>
        <w:rPr>
          <w:rFonts w:ascii="Times New Roman" w:eastAsia="Times New Roman" w:hAnsi="Times New Roman" w:cs="Times New Roman"/>
        </w:rPr>
        <w:t xml:space="preserve"> and Muff, 2015), hence posing a notable challenge for the intended objective of bringing these two sets of actors into alignment (Montiel et al., 2021; UN, 2015).</w:t>
      </w:r>
    </w:p>
    <w:p w14:paraId="60398238"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Institutional theory guides our investigation, and we test two institutional mechanisms that could elucidate distinct pathways for MNEs to engage with the SDGs: “mimetic isomorphism,” where MNEs, faced with the intricacy of 17 SDGs, emulate the sustainability profiles of their home countries to meet stakeholder expectations (Dau et al., 2020), thereby </w:t>
      </w:r>
      <w:r>
        <w:rPr>
          <w:rFonts w:ascii="Times New Roman" w:eastAsia="Times New Roman" w:hAnsi="Times New Roman" w:cs="Times New Roman"/>
          <w:i/>
        </w:rPr>
        <w:t xml:space="preserve">complementing </w:t>
      </w:r>
      <w:r>
        <w:rPr>
          <w:rFonts w:ascii="Times New Roman" w:eastAsia="Times New Roman" w:hAnsi="Times New Roman" w:cs="Times New Roman"/>
        </w:rPr>
        <w:t xml:space="preserve">these public-sector achievements; and "liability of origin," suggesting that MNEs from countries with weaker sustainability profiles engage more deeply with SDGs to bolster legitimacy in foreign markets (Hawn, 2018), thereby </w:t>
      </w:r>
      <w:r>
        <w:rPr>
          <w:rFonts w:ascii="Times New Roman" w:eastAsia="Times New Roman" w:hAnsi="Times New Roman" w:cs="Times New Roman"/>
          <w:i/>
        </w:rPr>
        <w:t>substituting</w:t>
      </w:r>
      <w:r>
        <w:rPr>
          <w:rFonts w:ascii="Times New Roman" w:eastAsia="Times New Roman" w:hAnsi="Times New Roman" w:cs="Times New Roman"/>
        </w:rPr>
        <w:t xml:space="preserve"> for their home-country’s limited SDG progress. </w:t>
      </w:r>
    </w:p>
    <w:p w14:paraId="19459256"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Prior studies have extended our comprehension of institutional effects on MNEs’ SDG engagement. For example, Bose &amp; Khan (2022) demonstrate a positive correlation between MNEs’ levels of SDG engagement, their home countries' SDG scores</w:t>
      </w:r>
      <w:r>
        <w:rPr>
          <w:rFonts w:ascii="Times New Roman" w:eastAsia="Times New Roman" w:hAnsi="Times New Roman" w:cs="Times New Roman"/>
          <w:vertAlign w:val="superscript"/>
        </w:rPr>
        <w:footnoteReference w:id="1"/>
      </w:r>
      <w:r>
        <w:rPr>
          <w:rFonts w:ascii="Times New Roman" w:eastAsia="Times New Roman" w:hAnsi="Times New Roman" w:cs="Times New Roman"/>
        </w:rPr>
        <w:t xml:space="preserve"> and the presence of sustainability regulations, while other findings challenge the notion of a consistent positive relationship between public and private-sector SDG engagement. For instance, Rosati &amp; Faria (2019) observed a positive relationship between MNEs' SDG engagement and climate change vulnerability, suggesting that limited progress on specific SDGs at the </w:t>
      </w:r>
      <w:r>
        <w:rPr>
          <w:rFonts w:ascii="Times New Roman" w:eastAsia="Times New Roman" w:hAnsi="Times New Roman" w:cs="Times New Roman"/>
        </w:rPr>
        <w:lastRenderedPageBreak/>
        <w:t xml:space="preserve">country-level, such as climate action (SDG 13), may spur greater engagement by MNEs on these same SDGs; however, more investigation is needed to develop a comprehensive understanding how the SDG framework is driving SDG engagement by MNEs with respect to their home country progress. Our study aims to contribute to this by uncovering patterns of MNEs’ engagement with the SDGs both at the overall framework level and, more granularly, with respect to individual goals. </w:t>
      </w:r>
    </w:p>
    <w:p w14:paraId="1D0BA79D"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In addition to addressing our primary research question, we also explore several focused inquiries driven by our empirical analysis, such as: </w:t>
      </w:r>
      <w:r>
        <w:rPr>
          <w:rFonts w:ascii="Times New Roman" w:eastAsia="Times New Roman" w:hAnsi="Times New Roman" w:cs="Times New Roman"/>
          <w:i/>
        </w:rPr>
        <w:t>Do our findings extend to individual SDGs as well as overall SDG engagement? And do supranational institutional pressures, including cultural and legal traditions, influence these patterns?</w:t>
      </w:r>
      <w:r>
        <w:rPr>
          <w:rFonts w:ascii="Times New Roman" w:eastAsia="Times New Roman" w:hAnsi="Times New Roman" w:cs="Times New Roman"/>
        </w:rPr>
        <w:t xml:space="preserve"> These questions remain underexplored by previous research that has examined country-level SDG scores, yet they prove pivotal in discerning the diverse engagement patterns arising from this most extensive "</w:t>
      </w:r>
      <w:r>
        <w:rPr>
          <w:rFonts w:ascii="Times New Roman" w:eastAsia="Times New Roman" w:hAnsi="Times New Roman" w:cs="Times New Roman"/>
          <w:i/>
        </w:rPr>
        <w:t>principle-based framework for sustainable development to date</w:t>
      </w:r>
      <w:r>
        <w:rPr>
          <w:rFonts w:ascii="Times New Roman" w:eastAsia="Times New Roman" w:hAnsi="Times New Roman" w:cs="Times New Roman"/>
        </w:rPr>
        <w:t xml:space="preserve">" (van der Waal &amp; </w:t>
      </w:r>
      <w:proofErr w:type="spellStart"/>
      <w:r>
        <w:rPr>
          <w:rFonts w:ascii="Times New Roman" w:eastAsia="Times New Roman" w:hAnsi="Times New Roman" w:cs="Times New Roman"/>
        </w:rPr>
        <w:t>Thijssens</w:t>
      </w:r>
      <w:proofErr w:type="spellEnd"/>
      <w:r>
        <w:rPr>
          <w:rFonts w:ascii="Times New Roman" w:eastAsia="Times New Roman" w:hAnsi="Times New Roman" w:cs="Times New Roman"/>
        </w:rPr>
        <w:t>, 2020).</w:t>
      </w:r>
    </w:p>
    <w:p w14:paraId="6329F89E"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To answer our research questions, we designed an algorithm to rigorously analyze sustainability reports from 150 MNEs in the S&amp;P Global Sustainability Yearbook. Using a “language alignment score," our approach moves beyond simplistic measures, such as dichotomous measures of reporting or word frequency, to examine the extent and pervasiveness of “SDG vocabulary” in the full text of sustainability reports (Pedregosa et al., 2011; Whittingham et al., 2023). This approach helps us go beyond capturing explicit reporting on specific SDGs to capturing how the MNEs’ attention to the topics covered by the SDGs is reflected in the text of their reports. Thus, what we describe as “SDG Engagement'' is not necessarily explicit engagement with the SDG </w:t>
      </w:r>
      <w:r>
        <w:rPr>
          <w:rFonts w:ascii="Times New Roman" w:eastAsia="Times New Roman" w:hAnsi="Times New Roman" w:cs="Times New Roman"/>
          <w:i/>
        </w:rPr>
        <w:t>framework</w:t>
      </w:r>
      <w:r>
        <w:rPr>
          <w:rFonts w:ascii="Times New Roman" w:eastAsia="Times New Roman" w:hAnsi="Times New Roman" w:cs="Times New Roman"/>
        </w:rPr>
        <w:t xml:space="preserve"> but rather a reflection, in the firm’s reporting language, of the </w:t>
      </w:r>
      <w:r>
        <w:rPr>
          <w:rFonts w:ascii="Times New Roman" w:eastAsia="Times New Roman" w:hAnsi="Times New Roman" w:cs="Times New Roman"/>
          <w:i/>
        </w:rPr>
        <w:t>underlying topics</w:t>
      </w:r>
      <w:r>
        <w:rPr>
          <w:rFonts w:ascii="Times New Roman" w:eastAsia="Times New Roman" w:hAnsi="Times New Roman" w:cs="Times New Roman"/>
        </w:rPr>
        <w:t xml:space="preserve"> of the individual SDGs (such as sustainable production, gender equality, or climate change action, etc.). Our results show that the liability of origin effect plays a predominant role in MNEs' overall SDG engagement. MNEs in our sample generally substitute for their home countries SDG progress, yet these results vary with the home-country’s cultural and legal traditions. Furthermore, this mechanism is not homogenous among goals in that, across the 17 goals, we observe mixed engagement </w:t>
      </w:r>
      <w:r>
        <w:rPr>
          <w:rFonts w:ascii="Times New Roman" w:eastAsia="Times New Roman" w:hAnsi="Times New Roman" w:cs="Times New Roman"/>
        </w:rPr>
        <w:lastRenderedPageBreak/>
        <w:t xml:space="preserve">patterns, with some showing liability of origin, others mimetic isomorphism, and some no significant pattern. </w:t>
      </w:r>
    </w:p>
    <w:p w14:paraId="5C33A348"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Our study proceeds by first focusing on two branches of institutional theory to provide our theoretical undergirding. Then, we develop and present our propositions, and describe our data and methodology. Next, we discuss the implications and limitations of our results and offer directions for future research. Ultimately, this research contributes to a deeper understanding of the complex interplay of institutional pressures shaping MNEs' engagement with the topical areas of sustainable development, as delineated by the SDGs.</w:t>
      </w:r>
    </w:p>
    <w:p w14:paraId="440BF1D9" w14:textId="77777777" w:rsidR="0030333D" w:rsidRDefault="0030333D">
      <w:pPr>
        <w:spacing w:line="480" w:lineRule="auto"/>
        <w:ind w:firstLine="720"/>
        <w:jc w:val="both"/>
        <w:rPr>
          <w:rFonts w:ascii="Times New Roman" w:eastAsia="Times New Roman" w:hAnsi="Times New Roman" w:cs="Times New Roman"/>
        </w:rPr>
      </w:pPr>
    </w:p>
    <w:p w14:paraId="1949F2DE" w14:textId="77777777" w:rsidR="0030333D" w:rsidRDefault="00000000">
      <w:pPr>
        <w:spacing w:line="480" w:lineRule="auto"/>
        <w:rPr>
          <w:rFonts w:ascii="Times New Roman" w:eastAsia="Times New Roman" w:hAnsi="Times New Roman" w:cs="Times New Roman"/>
          <w:b/>
        </w:rPr>
      </w:pPr>
      <w:r>
        <w:rPr>
          <w:rFonts w:ascii="Times New Roman" w:eastAsia="Times New Roman" w:hAnsi="Times New Roman" w:cs="Times New Roman"/>
          <w:b/>
        </w:rPr>
        <w:t xml:space="preserve">Theoretical Background </w:t>
      </w:r>
    </w:p>
    <w:p w14:paraId="44F6EABE" w14:textId="77777777" w:rsidR="0030333D" w:rsidRDefault="00000000">
      <w:pPr>
        <w:pBdr>
          <w:top w:val="nil"/>
          <w:left w:val="nil"/>
          <w:bottom w:val="nil"/>
          <w:right w:val="nil"/>
          <w:between w:val="nil"/>
        </w:pBdr>
        <w:spacing w:line="480" w:lineRule="auto"/>
        <w:jc w:val="both"/>
        <w:rPr>
          <w:rFonts w:ascii="Times New Roman" w:eastAsia="Times New Roman" w:hAnsi="Times New Roman" w:cs="Times New Roman"/>
          <w:b/>
          <w:i/>
        </w:rPr>
      </w:pPr>
      <w:r>
        <w:rPr>
          <w:rFonts w:ascii="Times New Roman" w:eastAsia="Times New Roman" w:hAnsi="Times New Roman" w:cs="Times New Roman"/>
          <w:i/>
        </w:rPr>
        <w:t xml:space="preserve">Institutional Pressures and MNEs’ SDGs Engagement </w:t>
      </w:r>
    </w:p>
    <w:p w14:paraId="4F98486C" w14:textId="77777777" w:rsidR="0030333D" w:rsidRDefault="00000000">
      <w:pPr>
        <w:shd w:val="clear" w:color="auto" w:fill="FFFFFF"/>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The SDGs are widely recognized as an institutional force able to influence corporate CSR strategies (Liou and Rao-Nichols, 2021), yet the nature of this "force" is not obvious. Institutional theory suggests that organizations, in their pursuit of legitimacy, adopt and conform to the practices and behaviors prevalent in their institutional contexts (Powell &amp; DiMaggio, 1991). Institutional context refers to the comprehensive set of formal and informal rules, norms, and regulations that mold the environment within which MNEs operate. This encompasses home and host countries, and considers political, economic, social, and cultural factors that significantly impact the behavior and decision-making of these organizations (Kostova et al., 2009; Meyer &amp; Rowan, 1977; Scott, 1995). </w:t>
      </w:r>
    </w:p>
    <w:p w14:paraId="201F496D" w14:textId="77777777" w:rsidR="0030333D" w:rsidRDefault="00000000">
      <w:pPr>
        <w:shd w:val="clear" w:color="auto" w:fill="FFFFFF"/>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While acknowledging interdependencies among home and host country influences, in this study, we take a closer look at the MNEs’ home-country influence, specifically their home-country performance on SDGs overall and on single goals. Institutional theory predicts that organizations adapt and respond to the complex set of environmental forces with "isomorphism" (Alda, 2019; Zucker, 1987). DiMaggio and Powell (1983) identify three drivers of this process: coercive, normative, and mimetic pressures. While </w:t>
      </w:r>
      <w:r>
        <w:rPr>
          <w:rFonts w:ascii="Times New Roman" w:eastAsia="Times New Roman" w:hAnsi="Times New Roman" w:cs="Times New Roman"/>
          <w:i/>
        </w:rPr>
        <w:t>coercive pressures</w:t>
      </w:r>
      <w:r>
        <w:rPr>
          <w:rFonts w:ascii="Times New Roman" w:eastAsia="Times New Roman" w:hAnsi="Times New Roman" w:cs="Times New Roman"/>
        </w:rPr>
        <w:t xml:space="preserve">, which involve the use of formal authority or sanctions to compel organizations to conform to specific practices, are not directly applicable to the SDGs given their voluntary design, prior </w:t>
      </w:r>
      <w:r>
        <w:rPr>
          <w:rFonts w:ascii="Times New Roman" w:eastAsia="Times New Roman" w:hAnsi="Times New Roman" w:cs="Times New Roman"/>
        </w:rPr>
        <w:lastRenderedPageBreak/>
        <w:t xml:space="preserve">studies suggest that the SDGs could represent a source of </w:t>
      </w:r>
      <w:r>
        <w:rPr>
          <w:rFonts w:ascii="Times New Roman" w:eastAsia="Times New Roman" w:hAnsi="Times New Roman" w:cs="Times New Roman"/>
          <w:i/>
        </w:rPr>
        <w:t>normative pressure</w:t>
      </w:r>
      <w:r>
        <w:rPr>
          <w:rFonts w:ascii="Times New Roman" w:eastAsia="Times New Roman" w:hAnsi="Times New Roman" w:cs="Times New Roman"/>
          <w:b/>
        </w:rPr>
        <w:t xml:space="preserve"> </w:t>
      </w:r>
      <w:r>
        <w:rPr>
          <w:rFonts w:ascii="Times New Roman" w:eastAsia="Times New Roman" w:hAnsi="Times New Roman" w:cs="Times New Roman"/>
        </w:rPr>
        <w:t xml:space="preserve">because stakeholders expect that firms should make efforts to pursue them (Aguilera et al., 2007; Helmig, Spraul, &amp; </w:t>
      </w:r>
      <w:proofErr w:type="spellStart"/>
      <w:r>
        <w:rPr>
          <w:rFonts w:ascii="Times New Roman" w:eastAsia="Times New Roman" w:hAnsi="Times New Roman" w:cs="Times New Roman"/>
        </w:rPr>
        <w:t>Ingenhoff</w:t>
      </w:r>
      <w:proofErr w:type="spellEnd"/>
      <w:r>
        <w:rPr>
          <w:rFonts w:ascii="Times New Roman" w:eastAsia="Times New Roman" w:hAnsi="Times New Roman" w:cs="Times New Roman"/>
        </w:rPr>
        <w:t xml:space="preserve">, 2016). Normative pressures are based on social norms, values, and expectations that guide appropriate behavior within a given institutional context. MNEs face normative pressures to both align with their home country's norms and simultaneously face the challenge of being responsive to the unique expectations and socio-cultural contexts of their diverse operational environments (Husted &amp; Allen, 2006). </w:t>
      </w:r>
    </w:p>
    <w:p w14:paraId="6B50AD8A" w14:textId="77777777" w:rsidR="0030333D" w:rsidRDefault="00000000">
      <w:pPr>
        <w:shd w:val="clear" w:color="auto" w:fill="FFFFFF"/>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The tension between local responsiveness and global integration, along with the organizational processes and structures that accompany it (decentralized versus centralized), has been a focal point in the international management literature (Bartlett and Ghoshal,1988; </w:t>
      </w:r>
      <w:proofErr w:type="spellStart"/>
      <w:r>
        <w:rPr>
          <w:rFonts w:ascii="Times New Roman" w:eastAsia="Times New Roman" w:hAnsi="Times New Roman" w:cs="Times New Roman"/>
        </w:rPr>
        <w:t>Doz</w:t>
      </w:r>
      <w:proofErr w:type="spellEnd"/>
      <w:r>
        <w:rPr>
          <w:rFonts w:ascii="Times New Roman" w:eastAsia="Times New Roman" w:hAnsi="Times New Roman" w:cs="Times New Roman"/>
        </w:rPr>
        <w:t xml:space="preserve"> &amp; Prahalad, 1986) and has extended into the contemporary strategic CSR conversation, (</w:t>
      </w:r>
      <w:proofErr w:type="spellStart"/>
      <w:r>
        <w:rPr>
          <w:rFonts w:ascii="Times New Roman" w:eastAsia="Times New Roman" w:hAnsi="Times New Roman" w:cs="Times New Roman"/>
        </w:rPr>
        <w:t>Boehe</w:t>
      </w:r>
      <w:proofErr w:type="spellEnd"/>
      <w:r>
        <w:rPr>
          <w:rFonts w:ascii="Times New Roman" w:eastAsia="Times New Roman" w:hAnsi="Times New Roman" w:cs="Times New Roman"/>
        </w:rPr>
        <w:t xml:space="preserve">, 2011; Husted and Allen, 2006). This ongoing examination underscores the challenge MNEs face in harmonizing global standards with the need for contextual adaptability in their operational and CSR strategies. Yet, as expressed by Husted and Allen (2006) the prominence of global agreements - such as the SDGs - can reinforce stakeholder perception and MNEs strategies for balancing global and local CSR issues. The presence of normative pressures advocating commitment to the SDGs (PwC, 2015) explains the rising engagement from MNEs in their public communications (Rosati &amp; Faria, 2019). However, it fails to elucidate patterns of engagement, such as the emphasis on specific goals and the exclusion of others, the breadth or scale, and other nuanced aspects. </w:t>
      </w:r>
    </w:p>
    <w:p w14:paraId="111E8A43" w14:textId="77777777" w:rsidR="0030333D" w:rsidRDefault="00000000">
      <w:pPr>
        <w:shd w:val="clear" w:color="auto" w:fill="FFFFFF"/>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The institutional mechanism of </w:t>
      </w:r>
      <w:proofErr w:type="spellStart"/>
      <w:r>
        <w:rPr>
          <w:rFonts w:ascii="Times New Roman" w:eastAsia="Times New Roman" w:hAnsi="Times New Roman" w:cs="Times New Roman"/>
        </w:rPr>
        <w:t>mimetism</w:t>
      </w:r>
      <w:proofErr w:type="spellEnd"/>
      <w:r>
        <w:rPr>
          <w:rFonts w:ascii="Times New Roman" w:eastAsia="Times New Roman" w:hAnsi="Times New Roman" w:cs="Times New Roman"/>
        </w:rPr>
        <w:t xml:space="preserve"> towards a MNE’s home country can potentially add to our understanding of the diverse patterns observed in SDG engagement. Mimetic behaviors arise specifically from uncertainty or ambiguity in the institutional environment, potentially leading MNEs to use home-countries as reference points for their CSR practices (Muller, 2006). The SDGs, being a framework driven by specific objectives, are designed to create a sense of pressure among MNEs to demonstrate tangible progress in achieving these goals where the home country is a role model (Sachs, 2015). Previous researchers show that home-country reputation influences stakeholders’ expectations of the MNE’s sustainable performance (Dau et al., 2020). In summary, when MNEs’ home countries are seen </w:t>
      </w:r>
      <w:r>
        <w:rPr>
          <w:rFonts w:ascii="Times New Roman" w:eastAsia="Times New Roman" w:hAnsi="Times New Roman" w:cs="Times New Roman"/>
        </w:rPr>
        <w:lastRenderedPageBreak/>
        <w:t xml:space="preserve">as leaders in sustainability, a mimetic response could reduce the uncertainty intrinsic in facing the complexity of multiple expectations of stakeholders and trying to address the 17 distinct SDGs. </w:t>
      </w:r>
    </w:p>
    <w:p w14:paraId="5BAADB05" w14:textId="77777777" w:rsidR="0030333D" w:rsidRDefault="00000000">
      <w:pPr>
        <w:shd w:val="clear" w:color="auto" w:fill="FFFFFF"/>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On the other hand, when an MNE home-country does not have a strong sustainability profile, stakeholders can transfer their low expectations of MNE sustainability performance (Dau et al., 2020; Hawn, 2018). In the face of this “liability of origin” (</w:t>
      </w:r>
      <w:proofErr w:type="spellStart"/>
      <w:r>
        <w:rPr>
          <w:rFonts w:ascii="Times New Roman" w:eastAsia="Times New Roman" w:hAnsi="Times New Roman" w:cs="Times New Roman"/>
        </w:rPr>
        <w:t>Fiaschi</w:t>
      </w:r>
      <w:proofErr w:type="spellEnd"/>
      <w:r>
        <w:rPr>
          <w:rFonts w:ascii="Times New Roman" w:eastAsia="Times New Roman" w:hAnsi="Times New Roman" w:cs="Times New Roman"/>
        </w:rPr>
        <w:t xml:space="preserve">, Giuliani &amp; Nieri, 2017; Marano, Tashman &amp; Kostova, 2017), MNEs are pressured to engage with the SDGs to overcome the negative reputation of being associated with a country with a relatively weak sustainability profile. In other words, instead of mimicking their home country's limited sustainability progress, MNEs may engage with the SDGs more extensively to make up for this perceived home country weakness. </w:t>
      </w:r>
    </w:p>
    <w:p w14:paraId="44A12EE0" w14:textId="77777777" w:rsidR="0030333D" w:rsidRDefault="00000000">
      <w:pPr>
        <w:shd w:val="clear" w:color="auto" w:fill="FFFFFF"/>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Previous studies suggest possibilities of both mimetic and liability of origin mechanisms. For example, </w:t>
      </w:r>
      <w:proofErr w:type="spellStart"/>
      <w:r>
        <w:rPr>
          <w:rFonts w:ascii="Times New Roman" w:eastAsia="Times New Roman" w:hAnsi="Times New Roman" w:cs="Times New Roman"/>
        </w:rPr>
        <w:t>Bhose</w:t>
      </w:r>
      <w:proofErr w:type="spellEnd"/>
      <w:r>
        <w:rPr>
          <w:rFonts w:ascii="Times New Roman" w:eastAsia="Times New Roman" w:hAnsi="Times New Roman" w:cs="Times New Roman"/>
        </w:rPr>
        <w:t xml:space="preserve"> and Khan (2020) found higher SDG engagement from MNEs from developing countries, where country-level SDG performance is generally lower, suggesting a liability of origin effect. In contrast, van der Waal and </w:t>
      </w:r>
      <w:proofErr w:type="spellStart"/>
      <w:r>
        <w:rPr>
          <w:rFonts w:ascii="Times New Roman" w:eastAsia="Times New Roman" w:hAnsi="Times New Roman" w:cs="Times New Roman"/>
        </w:rPr>
        <w:t>Thijssens</w:t>
      </w:r>
      <w:proofErr w:type="spellEnd"/>
      <w:r>
        <w:rPr>
          <w:rFonts w:ascii="Times New Roman" w:eastAsia="Times New Roman" w:hAnsi="Times New Roman" w:cs="Times New Roman"/>
        </w:rPr>
        <w:t xml:space="preserve"> (2020) found that SDG reporting is positively correlated to Continental Europe and Far East (Japan, Korea, Taiwan) and negatively to Anglo-Saxon countries and developing countries (BRICS-MINT), in line with van Zanten &amp; van </w:t>
      </w:r>
      <w:proofErr w:type="spellStart"/>
      <w:r>
        <w:rPr>
          <w:rFonts w:ascii="Times New Roman" w:eastAsia="Times New Roman" w:hAnsi="Times New Roman" w:cs="Times New Roman"/>
        </w:rPr>
        <w:t>Tulder</w:t>
      </w:r>
      <w:proofErr w:type="spellEnd"/>
      <w:r>
        <w:rPr>
          <w:rFonts w:ascii="Times New Roman" w:eastAsia="Times New Roman" w:hAnsi="Times New Roman" w:cs="Times New Roman"/>
        </w:rPr>
        <w:t xml:space="preserve"> (2018), who also found that European companies have greater involvement with SDGs, compared to North American Companies, which seem to suggest an overall mimetic effect. </w:t>
      </w:r>
    </w:p>
    <w:p w14:paraId="76901BF7" w14:textId="77777777" w:rsidR="0030333D" w:rsidRDefault="00000000">
      <w:pPr>
        <w:shd w:val="clear" w:color="auto" w:fill="FFFFFF"/>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These results can be explained by the complexity of the institutional context where MNEs operate, suggesting the SDG framework will likely generate nuanced patterns as these opposing forces interact (Aguilera-</w:t>
      </w:r>
      <w:proofErr w:type="spellStart"/>
      <w:r>
        <w:rPr>
          <w:rFonts w:ascii="Times New Roman" w:eastAsia="Times New Roman" w:hAnsi="Times New Roman" w:cs="Times New Roman"/>
        </w:rPr>
        <w:t>Caracuel</w:t>
      </w:r>
      <w:proofErr w:type="spellEnd"/>
      <w:r>
        <w:rPr>
          <w:rFonts w:ascii="Times New Roman" w:eastAsia="Times New Roman" w:hAnsi="Times New Roman" w:cs="Times New Roman"/>
        </w:rPr>
        <w:t xml:space="preserve"> et al., 2012; Kostova et al., 2009; </w:t>
      </w:r>
      <w:r>
        <w:rPr>
          <w:rFonts w:ascii="Times New Roman" w:eastAsia="Times New Roman" w:hAnsi="Times New Roman" w:cs="Times New Roman"/>
          <w:color w:val="000000"/>
        </w:rPr>
        <w:t xml:space="preserve">Kostova &amp; Zaheer, 1999; </w:t>
      </w:r>
      <w:r>
        <w:rPr>
          <w:rFonts w:ascii="Times New Roman" w:eastAsia="Times New Roman" w:hAnsi="Times New Roman" w:cs="Times New Roman"/>
        </w:rPr>
        <w:t>Zhu &amp; Sardana, 2020). The complexity inherent in the systemic nature and breadth of the SDGs also suggests possibilities of SDG-washing, cherry-picking, camouflaging, and similar tactics for obscuring the linkages between statements and actions (</w:t>
      </w:r>
      <w:proofErr w:type="spellStart"/>
      <w:r>
        <w:rPr>
          <w:rFonts w:ascii="Times New Roman" w:eastAsia="Times New Roman" w:hAnsi="Times New Roman" w:cs="Times New Roman"/>
        </w:rPr>
        <w:t>Boiral</w:t>
      </w:r>
      <w:proofErr w:type="spellEnd"/>
      <w:r>
        <w:rPr>
          <w:rFonts w:ascii="Times New Roman" w:eastAsia="Times New Roman" w:hAnsi="Times New Roman" w:cs="Times New Roman"/>
        </w:rPr>
        <w:t xml:space="preserve">, 2013; </w:t>
      </w:r>
      <w:proofErr w:type="spellStart"/>
      <w:r>
        <w:rPr>
          <w:rFonts w:ascii="Times New Roman" w:eastAsia="Times New Roman" w:hAnsi="Times New Roman" w:cs="Times New Roman"/>
        </w:rPr>
        <w:t>Boiral</w:t>
      </w:r>
      <w:proofErr w:type="spellEnd"/>
      <w:r>
        <w:rPr>
          <w:rFonts w:ascii="Times New Roman" w:eastAsia="Times New Roman" w:hAnsi="Times New Roman" w:cs="Times New Roman"/>
        </w:rPr>
        <w:t xml:space="preserve"> &amp; Heras-</w:t>
      </w:r>
      <w:proofErr w:type="spellStart"/>
      <w:r>
        <w:rPr>
          <w:rFonts w:ascii="Times New Roman" w:eastAsia="Times New Roman" w:hAnsi="Times New Roman" w:cs="Times New Roman"/>
        </w:rPr>
        <w:t>Saizarbitoria</w:t>
      </w:r>
      <w:proofErr w:type="spellEnd"/>
      <w:r>
        <w:rPr>
          <w:rFonts w:ascii="Times New Roman" w:eastAsia="Times New Roman" w:hAnsi="Times New Roman" w:cs="Times New Roman"/>
        </w:rPr>
        <w:t xml:space="preserve">, 2020). However, except for cases of complete decoupling (i.e., no relationship between statements and actions), broad engagement with the SDGs will likely foment cross-level institutional interactions when MNEs and public sector entities pursue the same goals, even if done imperfectly. Here, the home country's influence on MNEs' sustainability engagement is </w:t>
      </w:r>
      <w:r>
        <w:rPr>
          <w:rFonts w:ascii="Times New Roman" w:eastAsia="Times New Roman" w:hAnsi="Times New Roman" w:cs="Times New Roman"/>
        </w:rPr>
        <w:lastRenderedPageBreak/>
        <w:t>particularly important in relation to the SDGs, which address global-level issues and are</w:t>
      </w:r>
      <w:r>
        <w:t xml:space="preserve"> </w:t>
      </w:r>
      <w:r>
        <w:rPr>
          <w:rFonts w:ascii="Times New Roman" w:eastAsia="Times New Roman" w:hAnsi="Times New Roman" w:cs="Times New Roman"/>
        </w:rPr>
        <w:t xml:space="preserve">designed to aid collaborative action between public and private actors. </w:t>
      </w:r>
    </w:p>
    <w:p w14:paraId="118DD5B5" w14:textId="77777777" w:rsidR="0030333D" w:rsidRDefault="0030333D">
      <w:pPr>
        <w:shd w:val="clear" w:color="auto" w:fill="FFFFFF"/>
        <w:spacing w:line="480" w:lineRule="auto"/>
        <w:ind w:firstLine="720"/>
        <w:jc w:val="both"/>
        <w:rPr>
          <w:rFonts w:ascii="Times New Roman" w:eastAsia="Times New Roman" w:hAnsi="Times New Roman" w:cs="Times New Roman"/>
        </w:rPr>
      </w:pPr>
    </w:p>
    <w:p w14:paraId="094C47B7" w14:textId="77777777" w:rsidR="0030333D" w:rsidRDefault="00000000">
      <w:pPr>
        <w:spacing w:line="480" w:lineRule="auto"/>
        <w:jc w:val="both"/>
        <w:rPr>
          <w:rFonts w:ascii="Times New Roman" w:eastAsia="Times New Roman" w:hAnsi="Times New Roman" w:cs="Times New Roman"/>
          <w:i/>
        </w:rPr>
      </w:pPr>
      <w:r>
        <w:rPr>
          <w:rFonts w:ascii="Times New Roman" w:eastAsia="Times New Roman" w:hAnsi="Times New Roman" w:cs="Times New Roman"/>
          <w:i/>
        </w:rPr>
        <w:t>Home Country Institutional Profile</w:t>
      </w:r>
    </w:p>
    <w:p w14:paraId="4E67EB7B" w14:textId="77777777" w:rsidR="0030333D" w:rsidRDefault="00000000">
      <w:pPr>
        <w:pBdr>
          <w:top w:val="nil"/>
          <w:left w:val="nil"/>
          <w:bottom w:val="nil"/>
          <w:right w:val="nil"/>
          <w:between w:val="nil"/>
        </w:pBd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Although the influence of the </w:t>
      </w:r>
      <w:r>
        <w:rPr>
          <w:rFonts w:ascii="Times New Roman" w:eastAsia="Times New Roman" w:hAnsi="Times New Roman" w:cs="Times New Roman"/>
          <w:i/>
        </w:rPr>
        <w:t>host-country</w:t>
      </w:r>
      <w:r>
        <w:rPr>
          <w:rFonts w:ascii="Times New Roman" w:eastAsia="Times New Roman" w:hAnsi="Times New Roman" w:cs="Times New Roman"/>
        </w:rPr>
        <w:t xml:space="preserve"> institutional profile, as well as the institutional distance between home and host country, has been widely addressed in international business research (</w:t>
      </w:r>
      <w:proofErr w:type="spellStart"/>
      <w:r>
        <w:rPr>
          <w:rFonts w:ascii="Times New Roman" w:eastAsia="Times New Roman" w:hAnsi="Times New Roman" w:cs="Times New Roman"/>
        </w:rPr>
        <w:t>Delios</w:t>
      </w:r>
      <w:proofErr w:type="spellEnd"/>
      <w:r>
        <w:rPr>
          <w:rFonts w:ascii="Times New Roman" w:eastAsia="Times New Roman" w:hAnsi="Times New Roman" w:cs="Times New Roman"/>
        </w:rPr>
        <w:t xml:space="preserve"> &amp; </w:t>
      </w:r>
      <w:proofErr w:type="spellStart"/>
      <w:r>
        <w:rPr>
          <w:rFonts w:ascii="Times New Roman" w:eastAsia="Times New Roman" w:hAnsi="Times New Roman" w:cs="Times New Roman"/>
        </w:rPr>
        <w:t>Henisz</w:t>
      </w:r>
      <w:proofErr w:type="spellEnd"/>
      <w:r>
        <w:rPr>
          <w:rFonts w:ascii="Times New Roman" w:eastAsia="Times New Roman" w:hAnsi="Times New Roman" w:cs="Times New Roman"/>
        </w:rPr>
        <w:t xml:space="preserve">, 2003; Meyer et al., 2018; Tihanyi, Griffith, &amp; Russell, 2005), research on the </w:t>
      </w:r>
      <w:r>
        <w:rPr>
          <w:rFonts w:ascii="Times New Roman" w:eastAsia="Times New Roman" w:hAnsi="Times New Roman" w:cs="Times New Roman"/>
          <w:i/>
        </w:rPr>
        <w:t>home-country</w:t>
      </w:r>
      <w:r>
        <w:rPr>
          <w:rFonts w:ascii="Times New Roman" w:eastAsia="Times New Roman" w:hAnsi="Times New Roman" w:cs="Times New Roman"/>
        </w:rPr>
        <w:t xml:space="preserve"> institutional profile and how it affects MNEs’ engagement with sustainability has been limited (Cuervo-Cazurra et al., 2018; </w:t>
      </w:r>
      <w:r>
        <w:rPr>
          <w:rFonts w:ascii="Times New Roman" w:eastAsia="Times New Roman" w:hAnsi="Times New Roman" w:cs="Times New Roman"/>
          <w:color w:val="000000"/>
        </w:rPr>
        <w:t>Estrin</w:t>
      </w:r>
      <w:r>
        <w:rPr>
          <w:rFonts w:ascii="Times New Roman" w:eastAsia="Times New Roman" w:hAnsi="Times New Roman" w:cs="Times New Roman"/>
        </w:rPr>
        <w:t xml:space="preserve"> et al., 2018; Tashman, Marano &amp; Kostova, 2019; Xu et al., 2021). As Estrin, Meyer, Nielsen &amp; Nielsen (2016: page 4) state, “</w:t>
      </w:r>
      <w:r>
        <w:rPr>
          <w:rFonts w:ascii="Times New Roman" w:eastAsia="Times New Roman" w:hAnsi="Times New Roman" w:cs="Times New Roman"/>
          <w:i/>
        </w:rPr>
        <w:t>the influence of home country institutions has been largely neglected</w:t>
      </w:r>
      <w:r>
        <w:rPr>
          <w:rFonts w:ascii="Times New Roman" w:eastAsia="Times New Roman" w:hAnsi="Times New Roman" w:cs="Times New Roman"/>
        </w:rPr>
        <w:t>." SDG</w:t>
      </w:r>
      <w:r>
        <w:t xml:space="preserve"> </w:t>
      </w:r>
      <w:r>
        <w:rPr>
          <w:rFonts w:ascii="Times New Roman" w:eastAsia="Times New Roman" w:hAnsi="Times New Roman" w:cs="Times New Roman"/>
        </w:rPr>
        <w:t xml:space="preserve">engagement is an appropriate avenue to study such </w:t>
      </w:r>
      <w:r>
        <w:rPr>
          <w:rFonts w:ascii="Times New Roman" w:eastAsia="Times New Roman" w:hAnsi="Times New Roman" w:cs="Times New Roman"/>
          <w:i/>
        </w:rPr>
        <w:t>home-country</w:t>
      </w:r>
      <w:r>
        <w:rPr>
          <w:rFonts w:ascii="Times New Roman" w:eastAsia="Times New Roman" w:hAnsi="Times New Roman" w:cs="Times New Roman"/>
        </w:rPr>
        <w:t xml:space="preserve"> effects (Doh et al., 2017; Leyva-de la Hiz et al., 2019) because the SDGs apply at both country and MNE levels (i.e., both countries and firms are tasked with setting similar targets and using the same indicators to measure progress towards all 17 SDGs). MNEs and countries are essentially being evaluated by their stakeholders using a common scoring system. For firms operating across multiple locations, it is likely that the home country's performance becomes the reference point for stakeholders to evaluate and send feedback to MNEs about their engagement with the SDGs (</w:t>
      </w:r>
      <w:hyperlink r:id="rId7" w:anchor="bib76">
        <w:r>
          <w:rPr>
            <w:rFonts w:ascii="Times New Roman" w:eastAsia="Times New Roman" w:hAnsi="Times New Roman" w:cs="Times New Roman"/>
          </w:rPr>
          <w:t>Zhu and Geng, 2013</w:t>
        </w:r>
      </w:hyperlink>
      <w:r>
        <w:rPr>
          <w:rFonts w:ascii="Times New Roman" w:eastAsia="Times New Roman" w:hAnsi="Times New Roman" w:cs="Times New Roman"/>
        </w:rPr>
        <w:t xml:space="preserve">). Additionally, given the breadth and complexity of the SDGs framework itself and the multidimensional institutional settings where MNEs operate, the sustainability profile of the home country can be used as a heuristic to guide the MNE engagement with global goals. </w:t>
      </w:r>
    </w:p>
    <w:p w14:paraId="03C1A9C6" w14:textId="77777777" w:rsidR="0030333D" w:rsidRDefault="0030333D">
      <w:pPr>
        <w:pBdr>
          <w:top w:val="nil"/>
          <w:left w:val="nil"/>
          <w:bottom w:val="nil"/>
          <w:right w:val="nil"/>
          <w:between w:val="nil"/>
        </w:pBdr>
        <w:spacing w:line="480" w:lineRule="auto"/>
        <w:jc w:val="both"/>
        <w:rPr>
          <w:rFonts w:ascii="Times New Roman" w:eastAsia="Times New Roman" w:hAnsi="Times New Roman" w:cs="Times New Roman"/>
          <w:b/>
        </w:rPr>
      </w:pPr>
    </w:p>
    <w:p w14:paraId="379ACD79" w14:textId="77777777" w:rsidR="0030333D" w:rsidRDefault="00000000">
      <w:pPr>
        <w:pBdr>
          <w:top w:val="nil"/>
          <w:left w:val="nil"/>
          <w:bottom w:val="nil"/>
          <w:right w:val="nil"/>
          <w:between w:val="nil"/>
        </w:pBdr>
        <w:spacing w:line="480" w:lineRule="auto"/>
        <w:jc w:val="both"/>
        <w:rPr>
          <w:rFonts w:ascii="Times New Roman" w:eastAsia="Times New Roman" w:hAnsi="Times New Roman" w:cs="Times New Roman"/>
          <w:b/>
        </w:rPr>
      </w:pPr>
      <w:r>
        <w:rPr>
          <w:rFonts w:ascii="Times New Roman" w:eastAsia="Times New Roman" w:hAnsi="Times New Roman" w:cs="Times New Roman"/>
          <w:b/>
        </w:rPr>
        <w:t xml:space="preserve">Proposition Development </w:t>
      </w:r>
    </w:p>
    <w:p w14:paraId="48C96BCE" w14:textId="77777777" w:rsidR="0030333D" w:rsidRDefault="00000000">
      <w:pPr>
        <w:pBdr>
          <w:top w:val="nil"/>
          <w:left w:val="nil"/>
          <w:bottom w:val="nil"/>
          <w:right w:val="nil"/>
          <w:between w:val="nil"/>
        </w:pBdr>
        <w:spacing w:line="480" w:lineRule="auto"/>
        <w:jc w:val="both"/>
        <w:rPr>
          <w:rFonts w:ascii="Times New Roman" w:eastAsia="Times New Roman" w:hAnsi="Times New Roman" w:cs="Times New Roman"/>
        </w:rPr>
      </w:pPr>
      <w:r>
        <w:rPr>
          <w:rFonts w:ascii="Times New Roman" w:eastAsia="Times New Roman" w:hAnsi="Times New Roman" w:cs="Times New Roman"/>
          <w:i/>
        </w:rPr>
        <w:t>Mimetic Pressure to Complement the Home Country’s SDG Profile</w:t>
      </w:r>
    </w:p>
    <w:p w14:paraId="7239974C" w14:textId="77777777" w:rsidR="0030333D" w:rsidRDefault="00000000">
      <w:pPr>
        <w:pBdr>
          <w:top w:val="nil"/>
          <w:left w:val="nil"/>
          <w:bottom w:val="nil"/>
          <w:right w:val="nil"/>
          <w:between w:val="nil"/>
        </w:pBdr>
        <w:shd w:val="clear" w:color="auto" w:fill="FFFFFF"/>
        <w:spacing w:line="480" w:lineRule="auto"/>
        <w:jc w:val="both"/>
        <w:rPr>
          <w:rFonts w:ascii="Times New Roman" w:eastAsia="Times New Roman" w:hAnsi="Times New Roman" w:cs="Times New Roman"/>
        </w:rPr>
      </w:pPr>
      <w:r>
        <w:rPr>
          <w:rFonts w:ascii="Times New Roman" w:eastAsia="Times New Roman" w:hAnsi="Times New Roman" w:cs="Times New Roman"/>
        </w:rPr>
        <w:t>Mimetic isomorphism plays a significant role in shaping companies' engagement with CSR practices (</w:t>
      </w:r>
      <w:proofErr w:type="spellStart"/>
      <w:r>
        <w:rPr>
          <w:rFonts w:ascii="Times New Roman" w:eastAsia="Times New Roman" w:hAnsi="Times New Roman" w:cs="Times New Roman"/>
        </w:rPr>
        <w:t>Areneke</w:t>
      </w:r>
      <w:proofErr w:type="spellEnd"/>
      <w:r>
        <w:rPr>
          <w:rFonts w:ascii="Times New Roman" w:eastAsia="Times New Roman" w:hAnsi="Times New Roman" w:cs="Times New Roman"/>
        </w:rPr>
        <w:t xml:space="preserve"> &amp; Kimani, 2019; Buchanan &amp; Marques, 2018; Liou &amp; Rao-Nicholson, 2021). CSR decisions are inherently complex and uncertain, often requiring a long-term perspective and tolerance of unpredictable </w:t>
      </w:r>
      <w:r>
        <w:rPr>
          <w:rFonts w:ascii="Times New Roman" w:eastAsia="Times New Roman" w:hAnsi="Times New Roman" w:cs="Times New Roman"/>
        </w:rPr>
        <w:lastRenderedPageBreak/>
        <w:t>outcomes (</w:t>
      </w:r>
      <w:proofErr w:type="spellStart"/>
      <w:r>
        <w:rPr>
          <w:rFonts w:ascii="Times New Roman" w:eastAsia="Times New Roman" w:hAnsi="Times New Roman" w:cs="Times New Roman"/>
        </w:rPr>
        <w:t>Lepoutre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Dentchev</w:t>
      </w:r>
      <w:proofErr w:type="spellEnd"/>
      <w:r>
        <w:rPr>
          <w:rFonts w:ascii="Times New Roman" w:eastAsia="Times New Roman" w:hAnsi="Times New Roman" w:cs="Times New Roman"/>
        </w:rPr>
        <w:t xml:space="preserve"> &amp; Heene, 2007). In such situations, companies tend to use social comparison as a reference point for their decision-making processes (Haunschild &amp; Miner, 1997; Shinkle, 2012). It is common for organizations to mimic the practices of leading and successful organizations, thereby enhancing their own perceived legitimacy in the eyes of stakeholders. As a result, companies operating in the same sector or country are particularly prone to adopting similar CSR disclosure practices to align with the interests of like-minded stakeholders (Amor-Esteban et al., 2018; Amor-Esteban et al., 2019; Cubilla-Montilla et al., 2020; </w:t>
      </w:r>
      <w:r>
        <w:rPr>
          <w:rFonts w:ascii="Times New Roman" w:eastAsia="Times New Roman" w:hAnsi="Times New Roman" w:cs="Times New Roman"/>
          <w:color w:val="000000"/>
        </w:rPr>
        <w:t>Donoher, 2017).</w:t>
      </w:r>
      <w:r>
        <w:rPr>
          <w:rFonts w:ascii="Times New Roman" w:eastAsia="Times New Roman" w:hAnsi="Times New Roman" w:cs="Times New Roman"/>
        </w:rPr>
        <w:t xml:space="preserve"> The primary aim behind bowing to mimetic pressures is to achieve social legitimacy, more than strategic and economic advantage (Scott, 1995). Previous studies show that MNEs maintain legitimacy at home and in host countries by aligning their practices with stakeholders' expectations regarding their home country (</w:t>
      </w:r>
      <w:hyperlink r:id="rId8" w:anchor="bib76">
        <w:r>
          <w:rPr>
            <w:rFonts w:ascii="Times New Roman" w:eastAsia="Times New Roman" w:hAnsi="Times New Roman" w:cs="Times New Roman"/>
          </w:rPr>
          <w:t>Zhu and Geng, 2013</w:t>
        </w:r>
      </w:hyperlink>
      <w:r>
        <w:rPr>
          <w:rFonts w:ascii="Times New Roman" w:eastAsia="Times New Roman" w:hAnsi="Times New Roman" w:cs="Times New Roman"/>
        </w:rPr>
        <w:t xml:space="preserve">). The SDGs offer the same objectives to firms and countries, so the performance of the MNE's home country on the SDGs is likely to exert mimetic pressures on that MNE. </w:t>
      </w:r>
    </w:p>
    <w:p w14:paraId="266E3A2B" w14:textId="77777777" w:rsidR="0030333D" w:rsidRDefault="00000000">
      <w:pPr>
        <w:pBdr>
          <w:top w:val="nil"/>
          <w:left w:val="nil"/>
          <w:bottom w:val="nil"/>
          <w:right w:val="nil"/>
          <w:between w:val="nil"/>
        </w:pBdr>
        <w:shd w:val="clear" w:color="auto" w:fill="FFFFFF"/>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This engagement pattern involves emulating their home countries’ sustainability practices and strengths, thereby aligning themselves with stakeholders’ values, enhancing their credibility and reputation while also complementing the country’s SDG profile. This mimetic behavior not only enhances the company's image and attracts </w:t>
      </w:r>
      <w:proofErr w:type="gramStart"/>
      <w:r>
        <w:rPr>
          <w:rFonts w:ascii="Times New Roman" w:eastAsia="Times New Roman" w:hAnsi="Times New Roman" w:cs="Times New Roman"/>
        </w:rPr>
        <w:t>socially-conscious</w:t>
      </w:r>
      <w:proofErr w:type="gramEnd"/>
      <w:r>
        <w:rPr>
          <w:rFonts w:ascii="Times New Roman" w:eastAsia="Times New Roman" w:hAnsi="Times New Roman" w:cs="Times New Roman"/>
        </w:rPr>
        <w:t xml:space="preserve"> customers but also resonates with the design of the SDGs as a shared goal-based framework to align stakeholders’ efforts towards important goals. Consider an MNE headquartered in Sweden, a country known for its commitment to gender equality and female empowerment. To address stakeholders' expectations, the MNE is likely to engage with SDG 5 (Gender Equality). In this sense, adopting a mimetic approach, the company can implement progressive gender-inclusive policies and practices within its workforce, mirroring Sweden's reputation as a champion of gender equality. By doing so, the MNE aligns with stakeholders' expectations and engages in the advancement of SDG 5 and the broader global goal of promoting gender equality and women's empowerment. Building on this mimetic pressure explanation, we formulate our first proposition: </w:t>
      </w:r>
    </w:p>
    <w:p w14:paraId="6DBA4B53" w14:textId="77777777" w:rsidR="0030333D" w:rsidRDefault="00000000">
      <w:pPr>
        <w:spacing w:line="240" w:lineRule="auto"/>
        <w:ind w:left="720"/>
        <w:rPr>
          <w:rFonts w:ascii="Times New Roman" w:eastAsia="Times New Roman" w:hAnsi="Times New Roman" w:cs="Times New Roman"/>
          <w:b/>
        </w:rPr>
      </w:pPr>
      <w:r>
        <w:rPr>
          <w:rFonts w:ascii="Times New Roman" w:eastAsia="Times New Roman" w:hAnsi="Times New Roman" w:cs="Times New Roman"/>
          <w:b/>
        </w:rPr>
        <w:t xml:space="preserve">P1: The higher an MNE’s home country’s overall score on the SDGs, the greater the overall engagement with the SDGs by that MNE. </w:t>
      </w:r>
    </w:p>
    <w:p w14:paraId="1EE8A8D7" w14:textId="77777777" w:rsidR="0030333D" w:rsidRDefault="0030333D">
      <w:pPr>
        <w:spacing w:line="240" w:lineRule="auto"/>
        <w:ind w:left="720"/>
        <w:rPr>
          <w:rFonts w:ascii="Times New Roman" w:eastAsia="Times New Roman" w:hAnsi="Times New Roman" w:cs="Times New Roman"/>
        </w:rPr>
      </w:pPr>
    </w:p>
    <w:p w14:paraId="5EA1F2FB" w14:textId="77777777" w:rsidR="0030333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lastRenderedPageBreak/>
        <w:t>Given the breadth of issues captured in the SDG framework, there is a wide variety of patterns that MNEs could adopt under this mimetic behavior. Therefore, we formulate a more explorative proposition predicting this mimetic effect will hold across the 17 individual SDGs:</w:t>
      </w:r>
    </w:p>
    <w:p w14:paraId="05F36DD7" w14:textId="77777777" w:rsidR="0030333D" w:rsidRDefault="00000000">
      <w:pPr>
        <w:spacing w:line="240" w:lineRule="auto"/>
        <w:ind w:left="720"/>
        <w:rPr>
          <w:rFonts w:ascii="Times New Roman" w:eastAsia="Times New Roman" w:hAnsi="Times New Roman" w:cs="Times New Roman"/>
          <w:b/>
        </w:rPr>
      </w:pPr>
      <w:r>
        <w:rPr>
          <w:rFonts w:ascii="Times New Roman" w:eastAsia="Times New Roman" w:hAnsi="Times New Roman" w:cs="Times New Roman"/>
          <w:b/>
        </w:rPr>
        <w:t xml:space="preserve">P2: The higher an MNE’s home country’s score on specific SDGs, the greater the engagement with those specific SDGs by that MNE. </w:t>
      </w:r>
    </w:p>
    <w:p w14:paraId="66C97EBC" w14:textId="77777777" w:rsidR="0030333D" w:rsidRDefault="0030333D">
      <w:pPr>
        <w:spacing w:line="240" w:lineRule="auto"/>
        <w:ind w:left="720"/>
      </w:pPr>
    </w:p>
    <w:p w14:paraId="5B0FE3E3" w14:textId="77777777" w:rsidR="0030333D" w:rsidRDefault="0030333D">
      <w:pPr>
        <w:spacing w:line="240" w:lineRule="auto"/>
        <w:ind w:left="720"/>
      </w:pPr>
    </w:p>
    <w:p w14:paraId="0BA66365" w14:textId="77777777" w:rsidR="0030333D" w:rsidRDefault="00000000">
      <w:pPr>
        <w:spacing w:line="480" w:lineRule="auto"/>
        <w:jc w:val="both"/>
      </w:pPr>
      <w:r>
        <w:rPr>
          <w:rFonts w:ascii="Times New Roman" w:eastAsia="Times New Roman" w:hAnsi="Times New Roman" w:cs="Times New Roman"/>
          <w:i/>
        </w:rPr>
        <w:t xml:space="preserve">Liability of origin effect to substitute for Home Country SDG </w:t>
      </w:r>
      <w:proofErr w:type="gramStart"/>
      <w:r>
        <w:rPr>
          <w:rFonts w:ascii="Times New Roman" w:eastAsia="Times New Roman" w:hAnsi="Times New Roman" w:cs="Times New Roman"/>
          <w:i/>
        </w:rPr>
        <w:t>profile</w:t>
      </w:r>
      <w:proofErr w:type="gramEnd"/>
      <w:r>
        <w:rPr>
          <w:rFonts w:ascii="Times New Roman" w:eastAsia="Times New Roman" w:hAnsi="Times New Roman" w:cs="Times New Roman"/>
          <w:i/>
        </w:rPr>
        <w:t xml:space="preserve"> </w:t>
      </w:r>
    </w:p>
    <w:p w14:paraId="093FCAB3" w14:textId="77777777" w:rsidR="0030333D" w:rsidRDefault="00000000">
      <w:pPr>
        <w:spacing w:line="480" w:lineRule="auto"/>
        <w:jc w:val="both"/>
        <w:rPr>
          <w:rFonts w:ascii="Times New Roman" w:eastAsia="Times New Roman" w:hAnsi="Times New Roman" w:cs="Times New Roman"/>
        </w:rPr>
      </w:pPr>
      <w:r>
        <w:rPr>
          <w:rFonts w:ascii="Times New Roman" w:eastAsia="Times New Roman" w:hAnsi="Times New Roman" w:cs="Times New Roman"/>
        </w:rPr>
        <w:tab/>
        <w:t xml:space="preserve">While mimetic explanations suggest that MNEs reporting on the SDGs will mirror their home country SDG profile, a different mechanism suggests that MNEs do not always align with their home country profile, but they can react to home-country institutional weaknesses (such as low performance on the SDGs) as a way to gain legitimacy, especially when operating in the foreign markets (Doh et al., 2017; Ghoul, </w:t>
      </w:r>
      <w:proofErr w:type="spellStart"/>
      <w:r>
        <w:rPr>
          <w:rFonts w:ascii="Times New Roman" w:eastAsia="Times New Roman" w:hAnsi="Times New Roman" w:cs="Times New Roman"/>
        </w:rPr>
        <w:t>Guedhami</w:t>
      </w:r>
      <w:proofErr w:type="spellEnd"/>
      <w:r>
        <w:rPr>
          <w:rFonts w:ascii="Times New Roman" w:eastAsia="Times New Roman" w:hAnsi="Times New Roman" w:cs="Times New Roman"/>
        </w:rPr>
        <w:t xml:space="preserve">, &amp; Kim, 2017; Li &amp; Yue, 2008; Leyva-de la Hiz et al., 2019; Luo &amp; Tung, 2007; Marano et al., 2017; Meyer &amp; Peng, 2016). That is, MNEs do not simply mirror their home countries when it comes to CSR practices but can show higher engagement with those issues that are particularly lacking in their home countries (Baum &amp; Singh, 1994; Cantwell et al., 2010; </w:t>
      </w:r>
      <w:proofErr w:type="spellStart"/>
      <w:r>
        <w:rPr>
          <w:rFonts w:ascii="Times New Roman" w:eastAsia="Times New Roman" w:hAnsi="Times New Roman" w:cs="Times New Roman"/>
        </w:rPr>
        <w:t>Volberda</w:t>
      </w:r>
      <w:proofErr w:type="spellEnd"/>
      <w:r>
        <w:rPr>
          <w:rFonts w:ascii="Times New Roman" w:eastAsia="Times New Roman" w:hAnsi="Times New Roman" w:cs="Times New Roman"/>
        </w:rPr>
        <w:t xml:space="preserve"> &amp; Lewin, 2003). This </w:t>
      </w:r>
      <w:r>
        <w:rPr>
          <w:rFonts w:ascii="Times New Roman" w:eastAsia="Times New Roman" w:hAnsi="Times New Roman" w:cs="Times New Roman"/>
          <w:i/>
        </w:rPr>
        <w:t>substitution</w:t>
      </w:r>
      <w:r>
        <w:rPr>
          <w:rFonts w:ascii="Times New Roman" w:eastAsia="Times New Roman" w:hAnsi="Times New Roman" w:cs="Times New Roman"/>
        </w:rPr>
        <w:t xml:space="preserve"> pattern also resonates with the SDGs' design, where concerted action among countries and companies is viewed as key to helping achieve ambitious results (Donaldson &amp; Dunfee, 1999; GRI, UNGC, &amp; WBCSD, 2015). </w:t>
      </w:r>
    </w:p>
    <w:p w14:paraId="6F4FE08F" w14:textId="77777777" w:rsidR="0030333D" w:rsidRDefault="00000000">
      <w:pPr>
        <w:spacing w:line="480" w:lineRule="auto"/>
        <w:ind w:firstLine="700"/>
        <w:jc w:val="both"/>
        <w:rPr>
          <w:rFonts w:ascii="Times New Roman" w:eastAsia="Times New Roman" w:hAnsi="Times New Roman" w:cs="Times New Roman"/>
        </w:rPr>
      </w:pPr>
      <w:r>
        <w:rPr>
          <w:rFonts w:ascii="Times New Roman" w:eastAsia="Times New Roman" w:hAnsi="Times New Roman" w:cs="Times New Roman"/>
        </w:rPr>
        <w:t>Previous studies have shown how home-country institutional weaknesses represent a “</w:t>
      </w:r>
      <w:r>
        <w:rPr>
          <w:rFonts w:ascii="Times New Roman" w:eastAsia="Times New Roman" w:hAnsi="Times New Roman" w:cs="Times New Roman"/>
          <w:i/>
        </w:rPr>
        <w:t>liability of origin</w:t>
      </w:r>
      <w:r>
        <w:rPr>
          <w:rFonts w:ascii="Times New Roman" w:eastAsia="Times New Roman" w:hAnsi="Times New Roman" w:cs="Times New Roman"/>
        </w:rPr>
        <w:t>" as companies internationalize in foreign markets and can undermine their legitimacy (</w:t>
      </w:r>
      <w:proofErr w:type="spellStart"/>
      <w:r>
        <w:rPr>
          <w:rFonts w:ascii="Times New Roman" w:eastAsia="Times New Roman" w:hAnsi="Times New Roman" w:cs="Times New Roman"/>
        </w:rPr>
        <w:t>Areneke</w:t>
      </w:r>
      <w:proofErr w:type="spellEnd"/>
      <w:r>
        <w:rPr>
          <w:rFonts w:ascii="Times New Roman" w:eastAsia="Times New Roman" w:hAnsi="Times New Roman" w:cs="Times New Roman"/>
        </w:rPr>
        <w:t xml:space="preserve"> &amp; Kimani, 2019; Marano et al., 2017; </w:t>
      </w:r>
      <w:proofErr w:type="spellStart"/>
      <w:r>
        <w:rPr>
          <w:rFonts w:ascii="Times New Roman" w:eastAsia="Times New Roman" w:hAnsi="Times New Roman" w:cs="Times New Roman"/>
        </w:rPr>
        <w:t>Fiaschi</w:t>
      </w:r>
      <w:proofErr w:type="spellEnd"/>
      <w:r>
        <w:rPr>
          <w:rFonts w:ascii="Times New Roman" w:eastAsia="Times New Roman" w:hAnsi="Times New Roman" w:cs="Times New Roman"/>
        </w:rPr>
        <w:t xml:space="preserve">, Giuliani &amp; Nieri, 2017). As a result of this, an MNE coming from a home country with a weaker sustainability profile may be negatively perceived by stakeholders because they will tend to link their home-country profile to the company’s behavior (Luo &amp; Tung, 2007; Zhang et al., 2018). Therefore, stakeholder signals in these skeptical foreign markets are likely to pressure the firms to make additional efforts to engage with sustainability, diverging from their home country profile (Witt &amp; Lewin, 2007), such as by demonstrating progress on the SDGs. </w:t>
      </w:r>
    </w:p>
    <w:p w14:paraId="6666BC3E" w14:textId="77777777" w:rsidR="0030333D" w:rsidRDefault="00000000">
      <w:pPr>
        <w:spacing w:line="480" w:lineRule="auto"/>
        <w:ind w:firstLine="700"/>
        <w:jc w:val="both"/>
        <w:rPr>
          <w:rFonts w:ascii="Times New Roman" w:eastAsia="Times New Roman" w:hAnsi="Times New Roman" w:cs="Times New Roman"/>
        </w:rPr>
      </w:pPr>
      <w:r>
        <w:rPr>
          <w:rFonts w:ascii="Times New Roman" w:eastAsia="Times New Roman" w:hAnsi="Times New Roman" w:cs="Times New Roman"/>
        </w:rPr>
        <w:lastRenderedPageBreak/>
        <w:t xml:space="preserve">As an example, consider a company originating from India, a country with a relatively weak sustainability profile due to perceived lax environmental regulations and poor labor practices. In response to the skeptical perceptions and pressures from stakeholders, especially in foreign markets, the MNE can take an approach to address sustainability concerns and diverge from its home country profile. Recognizing the importance of the SDGs and the need to regain legitimacy, the company implements robust sustainability practices throughout its supply chain. For instance, the MNE invests in eco-friendly production processes, reduces water and energy consumption, and sources ingredients from local suppliers who adhere to responsible environmental and labor standards; it engages in community development projects and social initiatives, supporting SDGs related to poverty alleviation and sustainable livelihoods. By making these additional efforts to engage with sustainability, the company shows a substitution approach to its home country’s sustainability profile. </w:t>
      </w:r>
    </w:p>
    <w:p w14:paraId="0E507EC1" w14:textId="77777777" w:rsidR="0030333D" w:rsidRDefault="00000000">
      <w:pPr>
        <w:spacing w:line="480" w:lineRule="auto"/>
        <w:ind w:firstLine="700"/>
        <w:jc w:val="both"/>
        <w:rPr>
          <w:rFonts w:ascii="Times New Roman" w:eastAsia="Times New Roman" w:hAnsi="Times New Roman" w:cs="Times New Roman"/>
        </w:rPr>
      </w:pPr>
      <w:r>
        <w:rPr>
          <w:rFonts w:ascii="Times New Roman" w:eastAsia="Times New Roman" w:hAnsi="Times New Roman" w:cs="Times New Roman"/>
        </w:rPr>
        <w:t xml:space="preserve">Based on this line of reasoning, MNEs coming from countries with low progress on the SDGs face higher stakeholder pressures to demonstrate responsibility toward sustainable development and are likely to show greater engagement toward those issues where the home country </w:t>
      </w:r>
      <w:proofErr w:type="gramStart"/>
      <w:r>
        <w:rPr>
          <w:rFonts w:ascii="Times New Roman" w:eastAsia="Times New Roman" w:hAnsi="Times New Roman" w:cs="Times New Roman"/>
        </w:rPr>
        <w:t>lags behind</w:t>
      </w:r>
      <w:proofErr w:type="gramEnd"/>
      <w:r>
        <w:rPr>
          <w:rFonts w:ascii="Times New Roman" w:eastAsia="Times New Roman" w:hAnsi="Times New Roman" w:cs="Times New Roman"/>
        </w:rPr>
        <w:t>. Paralleling previous propositions based on mimetic pressures, we formulate two competing propositions based on the liability of origin effect and substitution engagement:</w:t>
      </w:r>
      <w:r>
        <w:t xml:space="preserve"> </w:t>
      </w:r>
    </w:p>
    <w:p w14:paraId="411B58A0" w14:textId="77777777" w:rsidR="0030333D" w:rsidRDefault="0030333D">
      <w:pPr>
        <w:spacing w:line="240" w:lineRule="auto"/>
        <w:ind w:left="720"/>
        <w:rPr>
          <w:rFonts w:ascii="Times New Roman" w:eastAsia="Times New Roman" w:hAnsi="Times New Roman" w:cs="Times New Roman"/>
        </w:rPr>
      </w:pPr>
    </w:p>
    <w:p w14:paraId="5123D9E6" w14:textId="77777777" w:rsidR="0030333D" w:rsidRDefault="00000000">
      <w:pPr>
        <w:spacing w:line="240" w:lineRule="auto"/>
        <w:ind w:left="720"/>
        <w:rPr>
          <w:rFonts w:ascii="Times New Roman" w:eastAsia="Times New Roman" w:hAnsi="Times New Roman" w:cs="Times New Roman"/>
          <w:b/>
        </w:rPr>
      </w:pPr>
      <w:r>
        <w:rPr>
          <w:rFonts w:ascii="Times New Roman" w:eastAsia="Times New Roman" w:hAnsi="Times New Roman" w:cs="Times New Roman"/>
          <w:b/>
        </w:rPr>
        <w:t xml:space="preserve">P3: The </w:t>
      </w:r>
      <w:r>
        <w:rPr>
          <w:rFonts w:ascii="Times New Roman" w:eastAsia="Times New Roman" w:hAnsi="Times New Roman" w:cs="Times New Roman"/>
          <w:b/>
          <w:i/>
        </w:rPr>
        <w:t>lower</w:t>
      </w:r>
      <w:r>
        <w:rPr>
          <w:rFonts w:ascii="Times New Roman" w:eastAsia="Times New Roman" w:hAnsi="Times New Roman" w:cs="Times New Roman"/>
          <w:b/>
        </w:rPr>
        <w:t xml:space="preserve"> an MNE’s home country’s overall score on the SDGs, the </w:t>
      </w:r>
      <w:r>
        <w:rPr>
          <w:rFonts w:ascii="Times New Roman" w:eastAsia="Times New Roman" w:hAnsi="Times New Roman" w:cs="Times New Roman"/>
          <w:b/>
          <w:i/>
        </w:rPr>
        <w:t>greater</w:t>
      </w:r>
      <w:r>
        <w:rPr>
          <w:rFonts w:ascii="Times New Roman" w:eastAsia="Times New Roman" w:hAnsi="Times New Roman" w:cs="Times New Roman"/>
          <w:b/>
        </w:rPr>
        <w:t xml:space="preserve"> the overall engagement with the SDGs by that MNE.</w:t>
      </w:r>
    </w:p>
    <w:p w14:paraId="676B3C58" w14:textId="77777777" w:rsidR="0030333D" w:rsidRDefault="0030333D">
      <w:pPr>
        <w:spacing w:line="480" w:lineRule="auto"/>
        <w:ind w:left="708"/>
        <w:jc w:val="both"/>
        <w:rPr>
          <w:rFonts w:ascii="Times New Roman" w:eastAsia="Times New Roman" w:hAnsi="Times New Roman" w:cs="Times New Roman"/>
          <w:b/>
        </w:rPr>
      </w:pPr>
    </w:p>
    <w:p w14:paraId="17F6FC79" w14:textId="77777777" w:rsidR="0030333D" w:rsidRDefault="00000000">
      <w:pPr>
        <w:spacing w:line="240" w:lineRule="auto"/>
        <w:ind w:left="720"/>
        <w:rPr>
          <w:rFonts w:ascii="Times New Roman" w:eastAsia="Times New Roman" w:hAnsi="Times New Roman" w:cs="Times New Roman"/>
          <w:b/>
        </w:rPr>
      </w:pPr>
      <w:r>
        <w:rPr>
          <w:rFonts w:ascii="Times New Roman" w:eastAsia="Times New Roman" w:hAnsi="Times New Roman" w:cs="Times New Roman"/>
          <w:b/>
        </w:rPr>
        <w:t xml:space="preserve">P4: The </w:t>
      </w:r>
      <w:r>
        <w:rPr>
          <w:rFonts w:ascii="Times New Roman" w:eastAsia="Times New Roman" w:hAnsi="Times New Roman" w:cs="Times New Roman"/>
          <w:b/>
          <w:i/>
        </w:rPr>
        <w:t xml:space="preserve">lower </w:t>
      </w:r>
      <w:r>
        <w:rPr>
          <w:rFonts w:ascii="Times New Roman" w:eastAsia="Times New Roman" w:hAnsi="Times New Roman" w:cs="Times New Roman"/>
          <w:b/>
        </w:rPr>
        <w:t xml:space="preserve">an MNE’s home country’s score on specific SDGs, the </w:t>
      </w:r>
      <w:r>
        <w:rPr>
          <w:rFonts w:ascii="Times New Roman" w:eastAsia="Times New Roman" w:hAnsi="Times New Roman" w:cs="Times New Roman"/>
          <w:b/>
          <w:i/>
        </w:rPr>
        <w:t>greater</w:t>
      </w:r>
      <w:r>
        <w:rPr>
          <w:rFonts w:ascii="Times New Roman" w:eastAsia="Times New Roman" w:hAnsi="Times New Roman" w:cs="Times New Roman"/>
          <w:b/>
        </w:rPr>
        <w:t xml:space="preserve"> the engagement with those specific SDGs by that MNE. </w:t>
      </w:r>
    </w:p>
    <w:p w14:paraId="79407523" w14:textId="77777777" w:rsidR="0030333D" w:rsidRDefault="00000000">
      <w:pPr>
        <w:spacing w:line="240" w:lineRule="auto"/>
        <w:ind w:left="720"/>
        <w:rPr>
          <w:rFonts w:ascii="Times New Roman" w:eastAsia="Times New Roman" w:hAnsi="Times New Roman" w:cs="Times New Roman"/>
          <w:b/>
        </w:rPr>
      </w:pPr>
      <w:r>
        <w:t xml:space="preserve"> </w:t>
      </w:r>
    </w:p>
    <w:p w14:paraId="38DAAEFC" w14:textId="77777777" w:rsidR="0030333D" w:rsidRDefault="00000000">
      <w:pPr>
        <w:spacing w:line="240" w:lineRule="auto"/>
        <w:rPr>
          <w:rFonts w:ascii="Times New Roman" w:eastAsia="Times New Roman" w:hAnsi="Times New Roman" w:cs="Times New Roman"/>
          <w:b/>
        </w:rPr>
      </w:pPr>
      <w:r>
        <w:t xml:space="preserve"> </w:t>
      </w:r>
    </w:p>
    <w:p w14:paraId="3877C959" w14:textId="77777777" w:rsidR="0030333D" w:rsidRDefault="00000000">
      <w:pPr>
        <w:spacing w:line="480" w:lineRule="auto"/>
        <w:rPr>
          <w:rFonts w:ascii="Times New Roman" w:eastAsia="Times New Roman" w:hAnsi="Times New Roman" w:cs="Times New Roman"/>
          <w:i/>
        </w:rPr>
      </w:pPr>
      <w:r>
        <w:rPr>
          <w:rFonts w:ascii="Times New Roman" w:eastAsia="Times New Roman" w:hAnsi="Times New Roman" w:cs="Times New Roman"/>
          <w:i/>
        </w:rPr>
        <w:t xml:space="preserve">Supranational pressures exerted by Geo-Institutional Groups SDG </w:t>
      </w:r>
      <w:proofErr w:type="gramStart"/>
      <w:r>
        <w:rPr>
          <w:rFonts w:ascii="Times New Roman" w:eastAsia="Times New Roman" w:hAnsi="Times New Roman" w:cs="Times New Roman"/>
          <w:i/>
        </w:rPr>
        <w:t>profile</w:t>
      </w:r>
      <w:proofErr w:type="gramEnd"/>
      <w:r>
        <w:rPr>
          <w:rFonts w:ascii="Times New Roman" w:eastAsia="Times New Roman" w:hAnsi="Times New Roman" w:cs="Times New Roman"/>
          <w:i/>
        </w:rPr>
        <w:t xml:space="preserve"> </w:t>
      </w:r>
    </w:p>
    <w:p w14:paraId="66741FF7" w14:textId="77777777" w:rsidR="0030333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We complement our exploration of the home country institutional forces by also considering supranational pressures on MNEs. In doing so, we join a group of scholars considering supranational geographical and cultural institutional influences on MNEs (e.g., Rugman &amp; Oh, 2013; Ordonez-Ponce &amp; Talbot, 2023; Tung &amp; Verbeke, 2010; Whitley, 1992). We draw on the influential article in the </w:t>
      </w:r>
      <w:r>
        <w:rPr>
          <w:rFonts w:ascii="Times New Roman" w:eastAsia="Times New Roman" w:hAnsi="Times New Roman" w:cs="Times New Roman"/>
        </w:rPr>
        <w:lastRenderedPageBreak/>
        <w:t xml:space="preserve">international business literature by Berry and colleagues (2010) in adopting an </w:t>
      </w:r>
      <w:r>
        <w:rPr>
          <w:rFonts w:ascii="Times New Roman" w:eastAsia="Times New Roman" w:hAnsi="Times New Roman" w:cs="Times New Roman"/>
          <w:i/>
        </w:rPr>
        <w:t>"administrative</w:t>
      </w:r>
      <w:r>
        <w:rPr>
          <w:rFonts w:ascii="Times New Roman" w:eastAsia="Times New Roman" w:hAnsi="Times New Roman" w:cs="Times New Roman"/>
        </w:rPr>
        <w:t>" perspective of countries' similarities (Berry et al., 2010) and identify three Geo-institutional groups in our sample: Anglo-Saxon, Continental Europe, and Asia-Pacific. This perspective is especially important for understanding the introduction of new regulatory frameworks (La Porta et al., 1998) as it groups countries around similar historical, cultural, and legal elements, such as colonial ties, common language, common religion, and origin and structure of legal systems such as civil law (the system of law that emerged in continental Europe in the Middle Ages and is based on codified law drawn from national legislation and custom as well as ancient Roman law) and common law (the system of law that emerged in England beginning in the Middle Ages and is based on case law and precedent rather than codified law) (</w:t>
      </w:r>
      <w:proofErr w:type="spellStart"/>
      <w:r>
        <w:rPr>
          <w:rFonts w:ascii="Times New Roman" w:eastAsia="Times New Roman" w:hAnsi="Times New Roman" w:cs="Times New Roman"/>
        </w:rPr>
        <w:t>Henisz</w:t>
      </w:r>
      <w:proofErr w:type="spellEnd"/>
      <w:r>
        <w:rPr>
          <w:rFonts w:ascii="Times New Roman" w:eastAsia="Times New Roman" w:hAnsi="Times New Roman" w:cs="Times New Roman"/>
        </w:rPr>
        <w:t xml:space="preserve">, 2000; Berkeley Law, 2016). </w:t>
      </w:r>
    </w:p>
    <w:p w14:paraId="0FFB2F42"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Through this perspective, managerial, legal, and CSR approaches are influenced by implicit taken-for-granted schemas that are not circumscribed by national borders but can cut across nations, creating similar expectations and subsequent behaviors (</w:t>
      </w:r>
      <w:r>
        <w:rPr>
          <w:rFonts w:ascii="Times New Roman" w:eastAsia="Times New Roman" w:hAnsi="Times New Roman" w:cs="Times New Roman"/>
          <w:color w:val="000000"/>
        </w:rPr>
        <w:t>Matten &amp; Moon, 2008)</w:t>
      </w:r>
      <w:r>
        <w:rPr>
          <w:rFonts w:ascii="Times New Roman" w:eastAsia="Times New Roman" w:hAnsi="Times New Roman" w:cs="Times New Roman"/>
        </w:rPr>
        <w:t xml:space="preserve">. Organizations in the US and the UK (i.e., the Anglo-Saxon group in our analysis) share similar taken-for-granted institutions and display similar behaviors in terms of CSR (March &amp; Olsen, 1989). For example, initiatives in these countries connecting firms with their communities have tended to focus on corporate volunteerism and philanthropy with little engagement with government and NGOs, and CSR has been rooted in the regulatory frameworks of these "neo-liberal" countries more so than in other countries (van </w:t>
      </w:r>
      <w:proofErr w:type="spellStart"/>
      <w:r>
        <w:rPr>
          <w:rFonts w:ascii="Times New Roman" w:eastAsia="Times New Roman" w:hAnsi="Times New Roman" w:cs="Times New Roman"/>
        </w:rPr>
        <w:t>Tulder</w:t>
      </w:r>
      <w:proofErr w:type="spellEnd"/>
      <w:r>
        <w:rPr>
          <w:rFonts w:ascii="Times New Roman" w:eastAsia="Times New Roman" w:hAnsi="Times New Roman" w:cs="Times New Roman"/>
        </w:rPr>
        <w:t xml:space="preserve"> and van der Zwart, 2006, p224-225). Another example of taken-for-granted schemas reinforcing CSR practices </w:t>
      </w:r>
      <w:proofErr w:type="gramStart"/>
      <w:r>
        <w:rPr>
          <w:rFonts w:ascii="Times New Roman" w:eastAsia="Times New Roman" w:hAnsi="Times New Roman" w:cs="Times New Roman"/>
        </w:rPr>
        <w:t>is connected with</w:t>
      </w:r>
      <w:proofErr w:type="gramEnd"/>
      <w:r>
        <w:rPr>
          <w:rFonts w:ascii="Times New Roman" w:eastAsia="Times New Roman" w:hAnsi="Times New Roman" w:cs="Times New Roman"/>
        </w:rPr>
        <w:t xml:space="preserve"> the country's legal form (Kim et al., 2017). Investment in social and environmental activities is higher in civil law countries, such as Spain, Italy, and Germany, where firms have typically concentrated ownership structures (</w:t>
      </w:r>
      <w:proofErr w:type="spellStart"/>
      <w:r>
        <w:rPr>
          <w:rFonts w:ascii="Times New Roman" w:eastAsia="Times New Roman" w:hAnsi="Times New Roman" w:cs="Times New Roman"/>
        </w:rPr>
        <w:t>Boubakri</w:t>
      </w:r>
      <w:proofErr w:type="spellEnd"/>
      <w:r>
        <w:rPr>
          <w:rFonts w:ascii="Times New Roman" w:eastAsia="Times New Roman" w:hAnsi="Times New Roman" w:cs="Times New Roman"/>
        </w:rPr>
        <w:t xml:space="preserve"> et al. 2005, La Porta et al. 1999) compared to common law countries such as UK, Canada, and the US, characterized by decentralized shareholders structures (Hansmann and </w:t>
      </w:r>
      <w:proofErr w:type="spellStart"/>
      <w:r>
        <w:rPr>
          <w:rFonts w:ascii="Times New Roman" w:eastAsia="Times New Roman" w:hAnsi="Times New Roman" w:cs="Times New Roman"/>
        </w:rPr>
        <w:t>Kraakman</w:t>
      </w:r>
      <w:proofErr w:type="spellEnd"/>
      <w:r>
        <w:rPr>
          <w:rFonts w:ascii="Times New Roman" w:eastAsia="Times New Roman" w:hAnsi="Times New Roman" w:cs="Times New Roman"/>
        </w:rPr>
        <w:t xml:space="preserve">, 2000; Pistor 2006). The administrative traditions of a country also influence the importance of transparency and accountability to the stakeholders (Navarro Galera et al., 2014). In civil law countries, for example, organizations are expected to report to various stakeholders, while in common law countries, organizations </w:t>
      </w:r>
      <w:r>
        <w:rPr>
          <w:rFonts w:ascii="Times New Roman" w:eastAsia="Times New Roman" w:hAnsi="Times New Roman" w:cs="Times New Roman"/>
        </w:rPr>
        <w:lastRenderedPageBreak/>
        <w:t xml:space="preserve">are traditionally more shareholder-oriented (Jensen &amp; Berg, 2012). In sum, this </w:t>
      </w:r>
      <w:r>
        <w:rPr>
          <w:rFonts w:ascii="Times New Roman" w:eastAsia="Times New Roman" w:hAnsi="Times New Roman" w:cs="Times New Roman"/>
          <w:i/>
        </w:rPr>
        <w:t>administrative</w:t>
      </w:r>
      <w:r>
        <w:rPr>
          <w:rFonts w:ascii="Times New Roman" w:eastAsia="Times New Roman" w:hAnsi="Times New Roman" w:cs="Times New Roman"/>
        </w:rPr>
        <w:t xml:space="preserve"> perspective (Berry et al., 2010) suggests that the geo-institutional characteristics of an MNE's home county could influence the mimetic isomorphism or liability of origin mechanisms that govern their engagement with the SDGs outlined in our first sets of propositions. Therefore, we propose the following: </w:t>
      </w:r>
    </w:p>
    <w:p w14:paraId="3250B95D" w14:textId="77777777" w:rsidR="0030333D" w:rsidRDefault="00000000">
      <w:pPr>
        <w:ind w:left="709" w:firstLine="10"/>
        <w:rPr>
          <w:rFonts w:ascii="Times New Roman" w:eastAsia="Times New Roman" w:hAnsi="Times New Roman" w:cs="Times New Roman"/>
          <w:b/>
        </w:rPr>
      </w:pPr>
      <w:r>
        <w:rPr>
          <w:rFonts w:ascii="Times New Roman" w:eastAsia="Times New Roman" w:hAnsi="Times New Roman" w:cs="Times New Roman"/>
          <w:b/>
        </w:rPr>
        <w:t xml:space="preserve"> P5: The relationship between MNE average SDG engagement level and average home country SDG score should vary across Geo-Institutional groups. </w:t>
      </w:r>
    </w:p>
    <w:p w14:paraId="5DE3FC13" w14:textId="77777777" w:rsidR="0030333D" w:rsidRDefault="0030333D">
      <w:pPr>
        <w:rPr>
          <w:rFonts w:ascii="Times New Roman" w:eastAsia="Times New Roman" w:hAnsi="Times New Roman" w:cs="Times New Roman"/>
          <w:b/>
        </w:rPr>
      </w:pPr>
    </w:p>
    <w:p w14:paraId="0E4A5633" w14:textId="77777777" w:rsidR="0030333D" w:rsidRDefault="00000000">
      <w:pPr>
        <w:spacing w:line="480" w:lineRule="auto"/>
        <w:ind w:firstLine="720"/>
        <w:rPr>
          <w:rFonts w:ascii="Times New Roman" w:eastAsia="Times New Roman" w:hAnsi="Times New Roman" w:cs="Times New Roman"/>
        </w:rPr>
      </w:pPr>
      <w:proofErr w:type="gramStart"/>
      <w:r>
        <w:rPr>
          <w:rFonts w:ascii="Times New Roman" w:eastAsia="Times New Roman" w:hAnsi="Times New Roman" w:cs="Times New Roman"/>
        </w:rPr>
        <w:t>Similar to</w:t>
      </w:r>
      <w:proofErr w:type="gramEnd"/>
      <w:r>
        <w:rPr>
          <w:rFonts w:ascii="Times New Roman" w:eastAsia="Times New Roman" w:hAnsi="Times New Roman" w:cs="Times New Roman"/>
        </w:rPr>
        <w:t xml:space="preserve"> our previous propositions, we are also interested in how this geo-institutional group effect will play out across the individual SGDs, as we know that the extent of engagement by MNEs can vary considerably across the SDGs (</w:t>
      </w:r>
      <w:r>
        <w:rPr>
          <w:rFonts w:ascii="Times New Roman" w:eastAsia="Times New Roman" w:hAnsi="Times New Roman" w:cs="Times New Roman"/>
          <w:color w:val="222222"/>
        </w:rPr>
        <w:t xml:space="preserve">Whittingham et al., 2023). Taking such a multi-level perspective on the SDGs is critical given the importance of promoting overall (i.e., average) progress and individual goals. As a result, we explore the varied impact of geo-institutional group membership on these mechanisms that may influence MNE engagement with individual SDGs and propose the following: </w:t>
      </w:r>
      <w:r>
        <w:rPr>
          <w:rFonts w:ascii="Times New Roman" w:eastAsia="Times New Roman" w:hAnsi="Times New Roman" w:cs="Times New Roman"/>
        </w:rPr>
        <w:t xml:space="preserve"> </w:t>
      </w:r>
    </w:p>
    <w:p w14:paraId="54D98837" w14:textId="77777777" w:rsidR="0030333D" w:rsidRDefault="00000000">
      <w:pPr>
        <w:spacing w:line="240" w:lineRule="auto"/>
        <w:ind w:left="720"/>
        <w:rPr>
          <w:rFonts w:ascii="Times New Roman" w:eastAsia="Times New Roman" w:hAnsi="Times New Roman" w:cs="Times New Roman"/>
        </w:rPr>
      </w:pPr>
      <w:r>
        <w:rPr>
          <w:rFonts w:ascii="Times New Roman" w:eastAsia="Times New Roman" w:hAnsi="Times New Roman" w:cs="Times New Roman"/>
          <w:b/>
        </w:rPr>
        <w:t xml:space="preserve">P6: The relationship between MNE engagement level on specific SDGs and home country score on the same SDGs should vary across Geo-Institutional groups. </w:t>
      </w:r>
    </w:p>
    <w:p w14:paraId="384B8DD5" w14:textId="77777777" w:rsidR="0030333D" w:rsidRDefault="0030333D">
      <w:pPr>
        <w:spacing w:line="480" w:lineRule="auto"/>
        <w:rPr>
          <w:rFonts w:ascii="Times New Roman" w:eastAsia="Times New Roman" w:hAnsi="Times New Roman" w:cs="Times New Roman"/>
          <w:b/>
        </w:rPr>
      </w:pPr>
    </w:p>
    <w:p w14:paraId="458CF4C7" w14:textId="77777777" w:rsidR="0030333D" w:rsidRDefault="0030333D">
      <w:pPr>
        <w:spacing w:line="480" w:lineRule="auto"/>
        <w:rPr>
          <w:rFonts w:ascii="Times New Roman" w:eastAsia="Times New Roman" w:hAnsi="Times New Roman" w:cs="Times New Roman"/>
          <w:b/>
        </w:rPr>
      </w:pPr>
    </w:p>
    <w:p w14:paraId="4B974C4F" w14:textId="77777777" w:rsidR="0030333D" w:rsidRDefault="00000000">
      <w:pPr>
        <w:spacing w:line="480" w:lineRule="auto"/>
        <w:rPr>
          <w:rFonts w:ascii="Times New Roman" w:eastAsia="Times New Roman" w:hAnsi="Times New Roman" w:cs="Times New Roman"/>
          <w:b/>
        </w:rPr>
      </w:pPr>
      <w:r>
        <w:rPr>
          <w:rFonts w:ascii="Times New Roman" w:eastAsia="Times New Roman" w:hAnsi="Times New Roman" w:cs="Times New Roman"/>
          <w:b/>
        </w:rPr>
        <w:t>Data and Methodology</w:t>
      </w:r>
    </w:p>
    <w:p w14:paraId="0657609F" w14:textId="77777777" w:rsidR="0030333D" w:rsidRDefault="00000000">
      <w:pPr>
        <w:spacing w:line="480" w:lineRule="auto"/>
        <w:rPr>
          <w:rFonts w:ascii="Times New Roman" w:eastAsia="Times New Roman" w:hAnsi="Times New Roman" w:cs="Times New Roman"/>
          <w:i/>
        </w:rPr>
      </w:pPr>
      <w:r>
        <w:rPr>
          <w:rFonts w:ascii="Times New Roman" w:eastAsia="Times New Roman" w:hAnsi="Times New Roman" w:cs="Times New Roman"/>
          <w:i/>
        </w:rPr>
        <w:t>Epistemological Strategy &amp; Sample</w:t>
      </w:r>
    </w:p>
    <w:p w14:paraId="61227925" w14:textId="77777777" w:rsidR="0030333D" w:rsidRDefault="00000000">
      <w:pPr>
        <w:spacing w:line="480" w:lineRule="auto"/>
        <w:jc w:val="both"/>
        <w:rPr>
          <w:rFonts w:ascii="Times New Roman" w:eastAsia="Times New Roman" w:hAnsi="Times New Roman" w:cs="Times New Roman"/>
          <w:b/>
        </w:rPr>
      </w:pPr>
      <w:r>
        <w:rPr>
          <w:rFonts w:ascii="Times New Roman" w:eastAsia="Times New Roman" w:hAnsi="Times New Roman" w:cs="Times New Roman"/>
        </w:rPr>
        <w:t xml:space="preserve">This study brings together what we believe to be important conceptual elements, a meaningful research question, and an impactful empirical context. However, it also relies on operationalizing several concepts that pose steep epistemological challenges, the most central of which is how we can observe and measure MNEs' SDG engagement systematically and on a global scale. We elected to do this by analyzing the imperfect but (as past research suggests) still useful organization artifacts of sustainability reports. In doing so, we accept that these documents produced by the MNEs are likely crafted to show them in a good light, are frequently not independently audited as is common with financial </w:t>
      </w:r>
      <w:proofErr w:type="gramStart"/>
      <w:r>
        <w:rPr>
          <w:rFonts w:ascii="Times New Roman" w:eastAsia="Times New Roman" w:hAnsi="Times New Roman" w:cs="Times New Roman"/>
        </w:rPr>
        <w:t>documents, and</w:t>
      </w:r>
      <w:proofErr w:type="gramEnd"/>
      <w:r>
        <w:rPr>
          <w:rFonts w:ascii="Times New Roman" w:eastAsia="Times New Roman" w:hAnsi="Times New Roman" w:cs="Times New Roman"/>
        </w:rPr>
        <w:t xml:space="preserve"> have a complex relationship to sustainability performance (</w:t>
      </w:r>
      <w:proofErr w:type="spellStart"/>
      <w:r>
        <w:rPr>
          <w:rFonts w:ascii="Times New Roman" w:eastAsia="Times New Roman" w:hAnsi="Times New Roman" w:cs="Times New Roman"/>
        </w:rPr>
        <w:t>Boiral</w:t>
      </w:r>
      <w:proofErr w:type="spellEnd"/>
      <w:r>
        <w:rPr>
          <w:rFonts w:ascii="Times New Roman" w:eastAsia="Times New Roman" w:hAnsi="Times New Roman" w:cs="Times New Roman"/>
        </w:rPr>
        <w:t xml:space="preserve">, 2013; </w:t>
      </w:r>
      <w:proofErr w:type="spellStart"/>
      <w:r>
        <w:rPr>
          <w:rFonts w:ascii="Times New Roman" w:eastAsia="Times New Roman" w:hAnsi="Times New Roman" w:cs="Times New Roman"/>
        </w:rPr>
        <w:t>Boiral</w:t>
      </w:r>
      <w:proofErr w:type="spellEnd"/>
      <w:r>
        <w:rPr>
          <w:rFonts w:ascii="Times New Roman" w:eastAsia="Times New Roman" w:hAnsi="Times New Roman" w:cs="Times New Roman"/>
        </w:rPr>
        <w:t xml:space="preserve"> &amp; Heras-</w:t>
      </w:r>
      <w:proofErr w:type="spellStart"/>
      <w:r>
        <w:rPr>
          <w:rFonts w:ascii="Times New Roman" w:eastAsia="Times New Roman" w:hAnsi="Times New Roman" w:cs="Times New Roman"/>
        </w:rPr>
        <w:t>Saizarbitoria</w:t>
      </w:r>
      <w:proofErr w:type="spellEnd"/>
      <w:r>
        <w:rPr>
          <w:rFonts w:ascii="Times New Roman" w:eastAsia="Times New Roman" w:hAnsi="Times New Roman" w:cs="Times New Roman"/>
        </w:rPr>
        <w:t xml:space="preserve">, 2020). </w:t>
      </w:r>
    </w:p>
    <w:p w14:paraId="028E61ED"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lastRenderedPageBreak/>
        <w:t xml:space="preserve">Despite sustainability reports being perhaps the only viable data source given the scale and scope of our research question, we believe it is still important to clarify what these reports contain and why MNEs invest in their production. Firms may respond to institutional pressures by communicating their aspirations and progress through sustainability reports (Bebbington &amp; </w:t>
      </w:r>
      <w:proofErr w:type="spellStart"/>
      <w:r>
        <w:rPr>
          <w:rFonts w:ascii="Times New Roman" w:eastAsia="Times New Roman" w:hAnsi="Times New Roman" w:cs="Times New Roman"/>
        </w:rPr>
        <w:t>Unerman</w:t>
      </w:r>
      <w:proofErr w:type="spellEnd"/>
      <w:r>
        <w:rPr>
          <w:rFonts w:ascii="Times New Roman" w:eastAsia="Times New Roman" w:hAnsi="Times New Roman" w:cs="Times New Roman"/>
        </w:rPr>
        <w:t xml:space="preserve">, 2018; Cho &amp; Patten, 2007; Reynolds &amp; </w:t>
      </w:r>
      <w:proofErr w:type="spellStart"/>
      <w:r>
        <w:rPr>
          <w:rFonts w:ascii="Times New Roman" w:eastAsia="Times New Roman" w:hAnsi="Times New Roman" w:cs="Times New Roman"/>
        </w:rPr>
        <w:t>Yuthas</w:t>
      </w:r>
      <w:proofErr w:type="spellEnd"/>
      <w:r>
        <w:rPr>
          <w:rFonts w:ascii="Times New Roman" w:eastAsia="Times New Roman" w:hAnsi="Times New Roman" w:cs="Times New Roman"/>
        </w:rPr>
        <w:t>, 2008). Extant literature refers to sustainability reporting as an important organizational practice by which companies communicate and signal their sustainability commitments, priorities, and progress to their stakeholders (Shinkle &amp; Spencer, 2012). Previous studies pointed out that companies may decouple sustainability practices and reporting (</w:t>
      </w:r>
      <w:proofErr w:type="spellStart"/>
      <w:r>
        <w:rPr>
          <w:rFonts w:ascii="Times New Roman" w:eastAsia="Times New Roman" w:hAnsi="Times New Roman" w:cs="Times New Roman"/>
        </w:rPr>
        <w:t>Boiral</w:t>
      </w:r>
      <w:proofErr w:type="spellEnd"/>
      <w:r>
        <w:rPr>
          <w:rFonts w:ascii="Times New Roman" w:eastAsia="Times New Roman" w:hAnsi="Times New Roman" w:cs="Times New Roman"/>
        </w:rPr>
        <w:t>, 2007; 2013); therefore, corporate disclosures are unlikely to be a perfect proxy for sustainability performance (in the case of this study, to measure engagement with the SDGs</w:t>
      </w:r>
      <w:r>
        <w:rPr>
          <w:rFonts w:ascii="Times New Roman" w:eastAsia="Times New Roman" w:hAnsi="Times New Roman" w:cs="Times New Roman"/>
          <w:vertAlign w:val="superscript"/>
        </w:rPr>
        <w:footnoteReference w:id="2"/>
      </w:r>
      <w:r>
        <w:rPr>
          <w:rFonts w:ascii="Times New Roman" w:eastAsia="Times New Roman" w:hAnsi="Times New Roman" w:cs="Times New Roman"/>
        </w:rPr>
        <w:t xml:space="preserve">). Past studies have also shown that sustainability reports and documents (i.e., integrated reporting, CSR reports, etc.) represent an important window into firms' efforts to meet the expectations of their stakeholders, as well as how they communicate their engagement with specific SDGs (Jiang et al., 2020). </w:t>
      </w:r>
    </w:p>
    <w:p w14:paraId="2B4F80A3"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Given the documented shortcomings of sustainability reports and similar data sources, we carefully selected what we considered the best of this flawed lot - the S&amp;P Global Sustainability Yearbook 2020, which assesses multinational companies based on the SAM Corporate Sustainability Assessment (CSA) (S&amp;P Global, 2020). The CSA uses a "consistent, rule-based methodology" featuring approximately 1000 data points per company organized across 20 criteria to generate an overall score (</w:t>
      </w:r>
      <w:proofErr w:type="spellStart"/>
      <w:r>
        <w:rPr>
          <w:rFonts w:ascii="Times New Roman" w:eastAsia="Times New Roman" w:hAnsi="Times New Roman" w:cs="Times New Roman"/>
        </w:rPr>
        <w:t>Gaffuri</w:t>
      </w:r>
      <w:proofErr w:type="spellEnd"/>
      <w:r>
        <w:rPr>
          <w:rFonts w:ascii="Times New Roman" w:eastAsia="Times New Roman" w:hAnsi="Times New Roman" w:cs="Times New Roman"/>
        </w:rPr>
        <w:t xml:space="preserve">, 2020). In line with our research questions, the express purpose of the CSA is to </w:t>
      </w:r>
      <w:r>
        <w:rPr>
          <w:rFonts w:ascii="Times New Roman" w:eastAsia="Times New Roman" w:hAnsi="Times New Roman" w:cs="Times New Roman"/>
          <w:i/>
        </w:rPr>
        <w:t>rank and identify sustainability leaders amongst large companies</w:t>
      </w:r>
      <w:r>
        <w:rPr>
          <w:rFonts w:ascii="Times New Roman" w:eastAsia="Times New Roman" w:hAnsi="Times New Roman" w:cs="Times New Roman"/>
        </w:rPr>
        <w:t>, in contrast to broader frameworks such as the Global Reporting Initiative (GRI) that focus primarily on the act of reporting itself and covers companies of any size (</w:t>
      </w:r>
      <w:proofErr w:type="spellStart"/>
      <w:r>
        <w:rPr>
          <w:rFonts w:ascii="Times New Roman" w:eastAsia="Times New Roman" w:hAnsi="Times New Roman" w:cs="Times New Roman"/>
        </w:rPr>
        <w:t>Kinderytė</w:t>
      </w:r>
      <w:proofErr w:type="spellEnd"/>
      <w:r>
        <w:rPr>
          <w:rFonts w:ascii="Times New Roman" w:eastAsia="Times New Roman" w:hAnsi="Times New Roman" w:cs="Times New Roman"/>
        </w:rPr>
        <w:t xml:space="preserve">, 2008; See Siew, 2015, for a useful overview and comparison other corporate sustainability reporting approaches). Additionally, the S&amp;P Global Sustainability Yearbook has been used in several other studies, including those with an international scope (Tan et al., 2015; van der Waal &amp; </w:t>
      </w:r>
      <w:proofErr w:type="spellStart"/>
      <w:r>
        <w:rPr>
          <w:rFonts w:ascii="Times New Roman" w:eastAsia="Times New Roman" w:hAnsi="Times New Roman" w:cs="Times New Roman"/>
        </w:rPr>
        <w:t>Thijssens</w:t>
      </w:r>
      <w:proofErr w:type="spellEnd"/>
      <w:r>
        <w:rPr>
          <w:rFonts w:ascii="Times New Roman" w:eastAsia="Times New Roman" w:hAnsi="Times New Roman" w:cs="Times New Roman"/>
        </w:rPr>
        <w:t>, 2020).</w:t>
      </w:r>
    </w:p>
    <w:p w14:paraId="2406C842"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lastRenderedPageBreak/>
        <w:t xml:space="preserve">In addition to the purpose of the S&amp;P Sustainability Yearbook aligning with our research question, its methodology offers some assurance of reflecting elements of underlying sustainability engagement, given any such index is inevitably an imperfect proxy (Gray &amp; </w:t>
      </w:r>
      <w:proofErr w:type="spellStart"/>
      <w:r>
        <w:rPr>
          <w:rFonts w:ascii="Times New Roman" w:eastAsia="Times New Roman" w:hAnsi="Times New Roman" w:cs="Times New Roman"/>
        </w:rPr>
        <w:t>Herremans</w:t>
      </w:r>
      <w:proofErr w:type="spellEnd"/>
      <w:r>
        <w:rPr>
          <w:rFonts w:ascii="Times New Roman" w:eastAsia="Times New Roman" w:hAnsi="Times New Roman" w:cs="Times New Roman"/>
        </w:rPr>
        <w:t xml:space="preserve">, 2012) and the subject of strategic action by firms (Searcy &amp; </w:t>
      </w:r>
      <w:proofErr w:type="spellStart"/>
      <w:r>
        <w:rPr>
          <w:rFonts w:ascii="Times New Roman" w:eastAsia="Times New Roman" w:hAnsi="Times New Roman" w:cs="Times New Roman"/>
        </w:rPr>
        <w:t>Elkhawas</w:t>
      </w:r>
      <w:proofErr w:type="spellEnd"/>
      <w:r>
        <w:rPr>
          <w:rFonts w:ascii="Times New Roman" w:eastAsia="Times New Roman" w:hAnsi="Times New Roman" w:cs="Times New Roman"/>
        </w:rPr>
        <w:t>, 2012). First, the CSA includes data beyond self-reports, including company documents and independent monitoring of corporate actions by S&amp;P Global. Second, to help avoid egregious greenwashing, the CSA engages in a transparent "exclusion screening" process to identify and exclude firms engaged in inherently problematic activities (e.g., "tobacco related products &amp; services" and "thermal coal mining") at specific thresholds (e.g., &gt;=5% revenue or &gt;=25% of ownership). Finally, the CSA engages in controversy screening via independent "Media Screening Assessments"</w:t>
      </w:r>
      <w:r>
        <w:rPr>
          <w:rFonts w:ascii="Times New Roman" w:eastAsia="Times New Roman" w:hAnsi="Times New Roman" w:cs="Times New Roman"/>
          <w:vertAlign w:val="superscript"/>
        </w:rPr>
        <w:footnoteReference w:id="3"/>
      </w:r>
      <w:r>
        <w:rPr>
          <w:rFonts w:ascii="Times New Roman" w:eastAsia="Times New Roman" w:hAnsi="Times New Roman" w:cs="Times New Roman"/>
        </w:rPr>
        <w:t xml:space="preserve"> (MSAs) using media coverage and other publicly available information, with a negative MSA capable of reducing a score on given criteria up to 80% (</w:t>
      </w:r>
      <w:proofErr w:type="spellStart"/>
      <w:r>
        <w:rPr>
          <w:rFonts w:ascii="Times New Roman" w:eastAsia="Times New Roman" w:hAnsi="Times New Roman" w:cs="Times New Roman"/>
        </w:rPr>
        <w:t>Gaffuri</w:t>
      </w:r>
      <w:proofErr w:type="spellEnd"/>
      <w:r>
        <w:rPr>
          <w:rFonts w:ascii="Times New Roman" w:eastAsia="Times New Roman" w:hAnsi="Times New Roman" w:cs="Times New Roman"/>
        </w:rPr>
        <w:t xml:space="preserve">, 2020). </w:t>
      </w:r>
    </w:p>
    <w:p w14:paraId="333D4AB1"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This process mirrors the "counter accounting" method of using independent media sources to verify the transparency of sustainability reports, where "online counter accounting makes it possible to assess whether sustainability reports are transparent with respect to specific sustainable development issues that have been clearly covered by alternative sources of information” (</w:t>
      </w:r>
      <w:proofErr w:type="spellStart"/>
      <w:r>
        <w:rPr>
          <w:rFonts w:ascii="Times New Roman" w:eastAsia="Times New Roman" w:hAnsi="Times New Roman" w:cs="Times New Roman"/>
        </w:rPr>
        <w:t>Boiral</w:t>
      </w:r>
      <w:proofErr w:type="spellEnd"/>
      <w:r>
        <w:rPr>
          <w:rFonts w:ascii="Times New Roman" w:eastAsia="Times New Roman" w:hAnsi="Times New Roman" w:cs="Times New Roman"/>
        </w:rPr>
        <w:t>, 2013, p. 1046).</w:t>
      </w:r>
      <w:r>
        <w:rPr>
          <w:rFonts w:ascii="Times New Roman" w:eastAsia="Times New Roman" w:hAnsi="Times New Roman" w:cs="Times New Roman"/>
          <w:sz w:val="21"/>
          <w:szCs w:val="21"/>
        </w:rPr>
        <w:t xml:space="preserve"> </w:t>
      </w:r>
      <w:r>
        <w:rPr>
          <w:rFonts w:ascii="Times New Roman" w:eastAsia="Times New Roman" w:hAnsi="Times New Roman" w:cs="Times New Roman"/>
        </w:rPr>
        <w:t xml:space="preserve">Collectively, these methodological choices provide reasonable safeguards against wanton greenwashing. However, we acknowledge that no such reporting efforts can ever be totally free of distortions, omissions, and other attempted manipulations.  </w:t>
      </w:r>
    </w:p>
    <w:p w14:paraId="5167436A"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In our procedure, we selected only the firms listed in the </w:t>
      </w:r>
      <w:proofErr w:type="gramStart"/>
      <w:r>
        <w:rPr>
          <w:rFonts w:ascii="Times New Roman" w:eastAsia="Times New Roman" w:hAnsi="Times New Roman" w:cs="Times New Roman"/>
        </w:rPr>
        <w:t>Gold, Silver, and Bronze</w:t>
      </w:r>
      <w:proofErr w:type="gramEnd"/>
      <w:r>
        <w:rPr>
          <w:rFonts w:ascii="Times New Roman" w:eastAsia="Times New Roman" w:hAnsi="Times New Roman" w:cs="Times New Roman"/>
        </w:rPr>
        <w:t xml:space="preserve"> categories, all scoring within 10% of the score of the top company in their respective industries. This may seem to limit the generalizability of our findings, but as we highlight above, this sample aligns with the UN's focus on the importance of </w:t>
      </w:r>
      <w:r>
        <w:rPr>
          <w:rFonts w:ascii="Times New Roman" w:eastAsia="Times New Roman" w:hAnsi="Times New Roman" w:cs="Times New Roman"/>
          <w:i/>
        </w:rPr>
        <w:t>leading</w:t>
      </w:r>
      <w:r>
        <w:rPr>
          <w:rFonts w:ascii="Times New Roman" w:eastAsia="Times New Roman" w:hAnsi="Times New Roman" w:cs="Times New Roman"/>
        </w:rPr>
        <w:t xml:space="preserve"> companies in addressing the SDGs (see GRI, UNGC, &amp; WBCSD, 2015) and we wanted to capture firms already showing evidence of engagement with sustainability-related issues. This </w:t>
      </w:r>
      <w:r>
        <w:rPr>
          <w:rFonts w:ascii="Times New Roman" w:eastAsia="Times New Roman" w:hAnsi="Times New Roman" w:cs="Times New Roman"/>
        </w:rPr>
        <w:lastRenderedPageBreak/>
        <w:t>sampling procedure captured large multinational firms domiciled across 23 countries and representing various industries, with impact and influence on various issues covered by the SDGs.</w:t>
      </w:r>
    </w:p>
    <w:p w14:paraId="01920E8E" w14:textId="77777777" w:rsidR="0030333D" w:rsidRDefault="00000000">
      <w:pPr>
        <w:spacing w:line="480" w:lineRule="auto"/>
        <w:jc w:val="both"/>
        <w:rPr>
          <w:rFonts w:ascii="Times New Roman" w:eastAsia="Times New Roman" w:hAnsi="Times New Roman" w:cs="Times New Roman"/>
        </w:rPr>
      </w:pPr>
      <w:r>
        <w:rPr>
          <w:rFonts w:ascii="Times New Roman" w:eastAsia="Times New Roman" w:hAnsi="Times New Roman" w:cs="Times New Roman"/>
        </w:rPr>
        <w:tab/>
        <w:t xml:space="preserve">To gauge our sample MNEs' engagement with the SDGs, we analyzed each company's recently published sustainability or social responsibility reports, extracting language from the text that we then scored against an exhaustive set of terms from each SDG's description. We begin testing our propositions by considering if a firm's home country's progress towards the SDGs (overall and across all 17 individual goals) can help explain variation in firm-level alignment scores. Next, we examine the relationship between our alignment score and the geo-institutional groupings of MNEs' home countries. </w:t>
      </w:r>
    </w:p>
    <w:p w14:paraId="5B451748" w14:textId="77777777" w:rsidR="0030333D" w:rsidRDefault="0030333D">
      <w:pPr>
        <w:spacing w:line="480" w:lineRule="auto"/>
        <w:jc w:val="both"/>
        <w:rPr>
          <w:rFonts w:ascii="Times New Roman" w:eastAsia="Times New Roman" w:hAnsi="Times New Roman" w:cs="Times New Roman"/>
          <w:i/>
        </w:rPr>
      </w:pPr>
    </w:p>
    <w:p w14:paraId="049AF9C1" w14:textId="77777777" w:rsidR="0030333D" w:rsidRDefault="00000000">
      <w:pPr>
        <w:spacing w:line="480" w:lineRule="auto"/>
        <w:jc w:val="both"/>
        <w:rPr>
          <w:rFonts w:ascii="Times New Roman" w:eastAsia="Times New Roman" w:hAnsi="Times New Roman" w:cs="Times New Roman"/>
          <w:i/>
        </w:rPr>
      </w:pPr>
      <w:r>
        <w:rPr>
          <w:rFonts w:ascii="Times New Roman" w:eastAsia="Times New Roman" w:hAnsi="Times New Roman" w:cs="Times New Roman"/>
          <w:i/>
        </w:rPr>
        <w:t>Dependent and Independent Variables</w:t>
      </w:r>
    </w:p>
    <w:p w14:paraId="486C22D3" w14:textId="77777777" w:rsidR="0030333D" w:rsidRDefault="00000000">
      <w:pPr>
        <w:spacing w:line="480" w:lineRule="auto"/>
        <w:jc w:val="both"/>
        <w:rPr>
          <w:rFonts w:ascii="Times New Roman" w:eastAsia="Times New Roman" w:hAnsi="Times New Roman" w:cs="Times New Roman"/>
        </w:rPr>
      </w:pPr>
      <w:r>
        <w:rPr>
          <w:rFonts w:ascii="Times New Roman" w:eastAsia="Times New Roman" w:hAnsi="Times New Roman" w:cs="Times New Roman"/>
          <w:b/>
          <w:i/>
        </w:rPr>
        <w:t>Firm engagement with the SDGs</w:t>
      </w:r>
      <w:r>
        <w:rPr>
          <w:rFonts w:ascii="Times New Roman" w:eastAsia="Times New Roman" w:hAnsi="Times New Roman" w:cs="Times New Roman"/>
          <w:i/>
        </w:rPr>
        <w:t xml:space="preserve">. </w:t>
      </w:r>
      <w:r>
        <w:rPr>
          <w:rFonts w:ascii="Times New Roman" w:eastAsia="Times New Roman" w:hAnsi="Times New Roman" w:cs="Times New Roman"/>
        </w:rPr>
        <w:t xml:space="preserve">We carried out computer-aided text analysis (CATA) using the </w:t>
      </w:r>
      <w:proofErr w:type="spellStart"/>
      <w:r>
        <w:rPr>
          <w:rFonts w:ascii="Times New Roman" w:eastAsia="Times New Roman" w:hAnsi="Times New Roman" w:cs="Times New Roman"/>
        </w:rPr>
        <w:t>Tf-idf</w:t>
      </w:r>
      <w:proofErr w:type="spellEnd"/>
      <w:r>
        <w:rPr>
          <w:rFonts w:ascii="Times New Roman" w:eastAsia="Times New Roman" w:hAnsi="Times New Roman" w:cs="Times New Roman"/>
        </w:rPr>
        <w:t xml:space="preserve"> Vectorizer programming routine available from Scikit-Learn (Pedregosa et al., 2011)</w:t>
      </w:r>
      <w:r>
        <w:rPr>
          <w:rFonts w:ascii="Times New Roman" w:eastAsia="Times New Roman" w:hAnsi="Times New Roman" w:cs="Times New Roman"/>
          <w:vertAlign w:val="superscript"/>
        </w:rPr>
        <w:footnoteReference w:id="4"/>
      </w:r>
      <w:r>
        <w:rPr>
          <w:rFonts w:ascii="Times New Roman" w:eastAsia="Times New Roman" w:hAnsi="Times New Roman" w:cs="Times New Roman"/>
        </w:rPr>
        <w:t xml:space="preserve">. </w:t>
      </w:r>
      <w:proofErr w:type="spellStart"/>
      <w:r>
        <w:rPr>
          <w:rFonts w:ascii="Times New Roman" w:eastAsia="Times New Roman" w:hAnsi="Times New Roman" w:cs="Times New Roman"/>
        </w:rPr>
        <w:t>Tf-idf</w:t>
      </w:r>
      <w:proofErr w:type="spellEnd"/>
      <w:r>
        <w:rPr>
          <w:rFonts w:ascii="Times New Roman" w:eastAsia="Times New Roman" w:hAnsi="Times New Roman" w:cs="Times New Roman"/>
        </w:rPr>
        <w:t xml:space="preserve"> stands for "term frequency–inverse document frequency." The </w:t>
      </w:r>
      <w:proofErr w:type="spellStart"/>
      <w:r>
        <w:rPr>
          <w:rFonts w:ascii="Times New Roman" w:eastAsia="Times New Roman" w:hAnsi="Times New Roman" w:cs="Times New Roman"/>
        </w:rPr>
        <w:t>Tf-idf</w:t>
      </w:r>
      <w:proofErr w:type="spellEnd"/>
      <w:r>
        <w:rPr>
          <w:rFonts w:ascii="Times New Roman" w:eastAsia="Times New Roman" w:hAnsi="Times New Roman" w:cs="Times New Roman"/>
        </w:rPr>
        <w:t xml:space="preserve"> Vectorizer, when applied to a group of documents, can extract </w:t>
      </w:r>
      <w:proofErr w:type="gramStart"/>
      <w:r>
        <w:rPr>
          <w:rFonts w:ascii="Times New Roman" w:eastAsia="Times New Roman" w:hAnsi="Times New Roman" w:cs="Times New Roman"/>
        </w:rPr>
        <w:t>all of</w:t>
      </w:r>
      <w:proofErr w:type="gramEnd"/>
      <w:r>
        <w:rPr>
          <w:rFonts w:ascii="Times New Roman" w:eastAsia="Times New Roman" w:hAnsi="Times New Roman" w:cs="Times New Roman"/>
        </w:rPr>
        <w:t xml:space="preserve"> the individual terms in the documents into a "bag of words" and then, for each document, assign a score to each term from the extracted list. The </w:t>
      </w:r>
      <w:proofErr w:type="spellStart"/>
      <w:r>
        <w:rPr>
          <w:rFonts w:ascii="Times New Roman" w:eastAsia="Times New Roman" w:hAnsi="Times New Roman" w:cs="Times New Roman"/>
        </w:rPr>
        <w:t>Tf-idf</w:t>
      </w:r>
      <w:proofErr w:type="spellEnd"/>
      <w:r>
        <w:rPr>
          <w:rFonts w:ascii="Times New Roman" w:eastAsia="Times New Roman" w:hAnsi="Times New Roman" w:cs="Times New Roman"/>
        </w:rPr>
        <w:t xml:space="preserve"> score, for a given term in a specific document in the group is a function of the frequency of occurrence of the term in that document (</w:t>
      </w:r>
      <w:proofErr w:type="spellStart"/>
      <w:r>
        <w:rPr>
          <w:rFonts w:ascii="Times New Roman" w:eastAsia="Times New Roman" w:hAnsi="Times New Roman" w:cs="Times New Roman"/>
        </w:rPr>
        <w:t>tf</w:t>
      </w:r>
      <w:proofErr w:type="spellEnd"/>
      <w:r>
        <w:rPr>
          <w:rFonts w:ascii="Times New Roman" w:eastAsia="Times New Roman" w:hAnsi="Times New Roman" w:cs="Times New Roman"/>
        </w:rPr>
        <w:t>), and the normalized inverse of the number of documents in the group that contain the term (</w:t>
      </w:r>
      <w:proofErr w:type="spellStart"/>
      <w:r>
        <w:rPr>
          <w:rFonts w:ascii="Times New Roman" w:eastAsia="Times New Roman" w:hAnsi="Times New Roman" w:cs="Times New Roman"/>
        </w:rPr>
        <w:t>idf</w:t>
      </w:r>
      <w:proofErr w:type="spellEnd"/>
      <w:r>
        <w:rPr>
          <w:rFonts w:ascii="Times New Roman" w:eastAsia="Times New Roman" w:hAnsi="Times New Roman" w:cs="Times New Roman"/>
        </w:rPr>
        <w:t xml:space="preserve">). Hence, terms that occur across many of the documents will have their term frequency scores reduced by a larger factor than that applied to terms only present in one or a few document(s). The highest term scores will be assigned to terms that occur frequently in one document but have very limited occurrence in any other document in the group, hence capturing both frequency of use in the document and </w:t>
      </w:r>
      <w:r>
        <w:rPr>
          <w:rFonts w:ascii="Times New Roman" w:eastAsia="Times New Roman" w:hAnsi="Times New Roman" w:cs="Times New Roman"/>
          <w:i/>
        </w:rPr>
        <w:t>specificity</w:t>
      </w:r>
      <w:r>
        <w:rPr>
          <w:rFonts w:ascii="Times New Roman" w:eastAsia="Times New Roman" w:hAnsi="Times New Roman" w:cs="Times New Roman"/>
        </w:rPr>
        <w:t xml:space="preserve"> to that document compared to others in the group, in our case highlighting terms that can help discern one SDG from another.</w:t>
      </w:r>
    </w:p>
    <w:p w14:paraId="7780DDF4"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lastRenderedPageBreak/>
        <w:t xml:space="preserve">We employed the </w:t>
      </w:r>
      <w:proofErr w:type="spellStart"/>
      <w:r>
        <w:rPr>
          <w:rFonts w:ascii="Times New Roman" w:eastAsia="Times New Roman" w:hAnsi="Times New Roman" w:cs="Times New Roman"/>
        </w:rPr>
        <w:t>Tf-idf</w:t>
      </w:r>
      <w:proofErr w:type="spellEnd"/>
      <w:r>
        <w:rPr>
          <w:rFonts w:ascii="Times New Roman" w:eastAsia="Times New Roman" w:hAnsi="Times New Roman" w:cs="Times New Roman"/>
        </w:rPr>
        <w:t xml:space="preserve"> Vectorizer in a two-stage process. Firstly, we used it to analyze the UN’s descriptions (United Nations, 2015a) of each of the 17 SDGs, extracting all vocabulary terms and weighing them based on frequency and uniqueness to the given SDG. A term was defined as any single word or any consecutive two or three words. This approach results in each word in the documents being counted in multiple</w:t>
      </w:r>
      <w:r>
        <w:t xml:space="preserve"> </w:t>
      </w:r>
      <w:r>
        <w:rPr>
          <w:rFonts w:ascii="Times New Roman" w:eastAsia="Times New Roman" w:hAnsi="Times New Roman" w:cs="Times New Roman"/>
        </w:rPr>
        <w:t xml:space="preserve">terms, but it has the advantage of allowing for short phrases to be counted as intact terms, rather than only counting individual words. Phrases, such as "climate change" or "reduced biodiversity loss" have special relevance to some of the SDGs and counting them as short phrases allows for a more complete assessment of the language of a document than that obtained by just counting individual words. The result of the first stage was a computer-generated “vocabulary” list of over 14,400 terms and, for each of the 17 SDG descriptions, a list (or vector) of corresponding </w:t>
      </w:r>
      <w:proofErr w:type="spellStart"/>
      <w:r>
        <w:rPr>
          <w:rFonts w:ascii="Times New Roman" w:eastAsia="Times New Roman" w:hAnsi="Times New Roman" w:cs="Times New Roman"/>
        </w:rPr>
        <w:t>tf-idf</w:t>
      </w:r>
      <w:proofErr w:type="spellEnd"/>
      <w:r>
        <w:rPr>
          <w:rFonts w:ascii="Times New Roman" w:eastAsia="Times New Roman" w:hAnsi="Times New Roman" w:cs="Times New Roman"/>
        </w:rPr>
        <w:t xml:space="preserve"> weighting scores for each of these terms.</w:t>
      </w:r>
      <w:r>
        <w:t xml:space="preserve">  </w:t>
      </w:r>
    </w:p>
    <w:p w14:paraId="25CFC9A9"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As described above, the vocabulary list that we developed from the collection of SDG descriptions consisted of 14,417 terms, with each term weighted differently for each SDG. We sought to determine if the distinction made by these computer-generated weightings was corroborated by human evaluators. Our question here was: do the computed weightings for terms in each SDG present an effective way to distinguish among the 17 SDGs? A panel of three independent human assessors was assembled, consisting of academic researchers and practitioners (not connected with this study), all of whom were professionally experienced with the SDGs. For this assessment, we gathered the 25 highest-weighted terms for each SDG into unlabeled columns in an Excel spreadsheet. We wanted enough terms from each SDG to capture the breadth of content, but not so many as to overwhelm the human assessors. The assessors were asked to review the spreadsheet and identify which SDG they felt each column was referring to, assigning an SDG number (SDG 1 through SDG 17) to each list of terms. The independent assessors all assigned the correct SDG number to each of the 17 lists, with </w:t>
      </w:r>
      <w:r>
        <w:rPr>
          <w:rFonts w:ascii="Times New Roman" w:eastAsia="Times New Roman" w:hAnsi="Times New Roman" w:cs="Times New Roman"/>
          <w:i/>
        </w:rPr>
        <w:t>zero</w:t>
      </w:r>
      <w:r>
        <w:rPr>
          <w:rFonts w:ascii="Times New Roman" w:eastAsia="Times New Roman" w:hAnsi="Times New Roman" w:cs="Times New Roman"/>
        </w:rPr>
        <w:t xml:space="preserve"> incorrect assignments. We took this as reasonable evidence that the computerized weighting process did an effective job of scoring terms based on their relevance to each of the SDGs. For the remainder of our analysis, we returned to the entire list of 14,417 vocabulary terms.</w:t>
      </w:r>
      <w:r>
        <w:t xml:space="preserve">  </w:t>
      </w:r>
      <w:r>
        <w:rPr>
          <w:rFonts w:ascii="Times New Roman" w:eastAsia="Times New Roman" w:hAnsi="Times New Roman" w:cs="Times New Roman"/>
        </w:rPr>
        <w:t xml:space="preserve"> </w:t>
      </w:r>
    </w:p>
    <w:p w14:paraId="2F782127" w14:textId="77777777" w:rsidR="0030333D" w:rsidRDefault="00000000">
      <w:pPr>
        <w:spacing w:line="480" w:lineRule="auto"/>
        <w:jc w:val="both"/>
        <w:rPr>
          <w:rFonts w:ascii="Times New Roman" w:eastAsia="Times New Roman" w:hAnsi="Times New Roman" w:cs="Times New Roman"/>
        </w:rPr>
      </w:pPr>
      <w:r>
        <w:rPr>
          <w:rFonts w:ascii="Times New Roman" w:eastAsia="Times New Roman" w:hAnsi="Times New Roman" w:cs="Times New Roman"/>
        </w:rPr>
        <w:lastRenderedPageBreak/>
        <w:t xml:space="preserve">   </w:t>
      </w:r>
      <w:r>
        <w:rPr>
          <w:rFonts w:ascii="Times New Roman" w:eastAsia="Times New Roman" w:hAnsi="Times New Roman" w:cs="Times New Roman"/>
        </w:rPr>
        <w:tab/>
        <w:t xml:space="preserve">In the second stage, we used the </w:t>
      </w:r>
      <w:proofErr w:type="spellStart"/>
      <w:r>
        <w:rPr>
          <w:rFonts w:ascii="Times New Roman" w:eastAsia="Times New Roman" w:hAnsi="Times New Roman" w:cs="Times New Roman"/>
        </w:rPr>
        <w:t>Tf-idf</w:t>
      </w:r>
      <w:proofErr w:type="spellEnd"/>
      <w:r>
        <w:rPr>
          <w:rFonts w:ascii="Times New Roman" w:eastAsia="Times New Roman" w:hAnsi="Times New Roman" w:cs="Times New Roman"/>
        </w:rPr>
        <w:t xml:space="preserve"> Vectorizer again, this time to analyze each firm's sustainability report.</w:t>
      </w:r>
      <w:r>
        <w:t xml:space="preserve"> </w:t>
      </w:r>
      <w:r>
        <w:rPr>
          <w:rFonts w:ascii="Times New Roman" w:eastAsia="Times New Roman" w:hAnsi="Times New Roman" w:cs="Times New Roman"/>
        </w:rPr>
        <w:t>We constrained</w:t>
      </w:r>
      <w:r>
        <w:t xml:space="preserve"> </w:t>
      </w:r>
      <w:r>
        <w:rPr>
          <w:rFonts w:ascii="Times New Roman" w:eastAsia="Times New Roman" w:hAnsi="Times New Roman" w:cs="Times New Roman"/>
        </w:rPr>
        <w:t>the program</w:t>
      </w:r>
      <w:r>
        <w:t xml:space="preserve"> </w:t>
      </w:r>
      <w:r>
        <w:rPr>
          <w:rFonts w:ascii="Times New Roman" w:eastAsia="Times New Roman" w:hAnsi="Times New Roman" w:cs="Times New Roman"/>
        </w:rPr>
        <w:t>to the extensive “vocabulary list” of the extracted SDG terms from the prior step, again scoring each term based on the frequency and uniqueness in the given sustainability report, this time</w:t>
      </w:r>
      <w:r>
        <w:t xml:space="preserve"> </w:t>
      </w:r>
      <w:r>
        <w:rPr>
          <w:rFonts w:ascii="Times New Roman" w:eastAsia="Times New Roman" w:hAnsi="Times New Roman" w:cs="Times New Roman"/>
        </w:rPr>
        <w:t>normalizing the frequency scores to control for the varying lengths of the reports. The result was a numeric vector (</w:t>
      </w:r>
      <w:proofErr w:type="spellStart"/>
      <w:r>
        <w:rPr>
          <w:rFonts w:ascii="Times New Roman" w:eastAsia="Times New Roman" w:hAnsi="Times New Roman" w:cs="Times New Roman"/>
        </w:rPr>
        <w:t>tf-idf</w:t>
      </w:r>
      <w:proofErr w:type="spellEnd"/>
      <w:r>
        <w:rPr>
          <w:rFonts w:ascii="Times New Roman" w:eastAsia="Times New Roman" w:hAnsi="Times New Roman" w:cs="Times New Roman"/>
        </w:rPr>
        <w:t xml:space="preserve"> weights for each of the 14,417 terms) for each firm’s sustainability report, similar in format to those obtained for the SDG descriptions.</w:t>
      </w:r>
    </w:p>
    <w:p w14:paraId="2E9C96F5"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We then calculated the language alignment of each firm’s sustainability report to each individual SDG by multiplying the firm and SDG weights assigned to each vocabulary term and summing the resulting products across all 14,417</w:t>
      </w:r>
      <w:r>
        <w:t xml:space="preserve"> </w:t>
      </w:r>
      <w:r>
        <w:rPr>
          <w:rFonts w:ascii="Times New Roman" w:eastAsia="Times New Roman" w:hAnsi="Times New Roman" w:cs="Times New Roman"/>
        </w:rPr>
        <w:t>terms. It is these alignment scores that we use as the measure of an MNE’s engagement with each of the SDGs.</w:t>
      </w:r>
      <w:r>
        <w:t xml:space="preserve"> </w:t>
      </w:r>
      <w:r>
        <w:rPr>
          <w:rFonts w:ascii="Times New Roman" w:eastAsia="Times New Roman" w:hAnsi="Times New Roman" w:cs="Times New Roman"/>
        </w:rPr>
        <w:t xml:space="preserve">Any terms that are not present in either the sustainability report or the specific SDG description will result in products of zero and no contribution to the alignment score, while terms that are heavily weighted in both documents enhance the alignment score. This resulted in 17 distinct SDG alignment scores per firm (dependent variables FSDG1 to FSDG17 in the models), which we averaged together to generate an overall SDG alignment score for the firm's report (DV </w:t>
      </w:r>
      <w:proofErr w:type="spellStart"/>
      <w:r>
        <w:rPr>
          <w:rFonts w:ascii="Times New Roman" w:eastAsia="Times New Roman" w:hAnsi="Times New Roman" w:cs="Times New Roman"/>
        </w:rPr>
        <w:t>FSDGAv</w:t>
      </w:r>
      <w:proofErr w:type="spellEnd"/>
      <w:r>
        <w:rPr>
          <w:rFonts w:ascii="Times New Roman" w:eastAsia="Times New Roman" w:hAnsi="Times New Roman" w:cs="Times New Roman"/>
        </w:rPr>
        <w:t xml:space="preserve"> in the model)</w:t>
      </w:r>
      <w:r>
        <w:rPr>
          <w:rFonts w:ascii="Times New Roman" w:eastAsia="Times New Roman" w:hAnsi="Times New Roman" w:cs="Times New Roman"/>
          <w:vertAlign w:val="superscript"/>
        </w:rPr>
        <w:footnoteReference w:id="5"/>
      </w:r>
      <w:r>
        <w:rPr>
          <w:rFonts w:ascii="Times New Roman" w:eastAsia="Times New Roman" w:hAnsi="Times New Roman" w:cs="Times New Roman"/>
        </w:rPr>
        <w:t>.</w:t>
      </w:r>
    </w:p>
    <w:p w14:paraId="4857FAE9"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b/>
          <w:i/>
        </w:rPr>
        <w:t>Home country SDG progress</w:t>
      </w:r>
      <w:r>
        <w:rPr>
          <w:rFonts w:ascii="Times New Roman" w:eastAsia="Times New Roman" w:hAnsi="Times New Roman" w:cs="Times New Roman"/>
          <w:i/>
        </w:rPr>
        <w:t xml:space="preserve">. </w:t>
      </w:r>
      <w:r>
        <w:rPr>
          <w:rFonts w:ascii="Times New Roman" w:eastAsia="Times New Roman" w:hAnsi="Times New Roman" w:cs="Times New Roman"/>
        </w:rPr>
        <w:t>We compiled</w:t>
      </w:r>
      <w:r>
        <w:rPr>
          <w:rFonts w:ascii="Times New Roman" w:eastAsia="Times New Roman" w:hAnsi="Times New Roman" w:cs="Times New Roman"/>
          <w:i/>
        </w:rPr>
        <w:t xml:space="preserve"> </w:t>
      </w:r>
      <w:r>
        <w:rPr>
          <w:rFonts w:ascii="Times New Roman" w:eastAsia="Times New Roman" w:hAnsi="Times New Roman" w:cs="Times New Roman"/>
        </w:rPr>
        <w:t xml:space="preserve">scores for the SDG progress of the sample MNEs’ home countries from the online database for the Sustainable Development Report 2019, published by the Sustainable Development Solutions Network (Sachs et al., 2019). The creators of this database compiled and analyzed data from a variety of established and publicly available sources (such as the World Bank, UNICEF, IMF, OECD, etc.) to calculate scores on 114 indicators that contribute to the 17 UN SDGs. These indicator scores are aggregated into country progress scores for each SDG (independent variables CSDG1 to CSDG17 in models), which are subsequently aggregated into an overall SDG progress score for the country (independent variable </w:t>
      </w:r>
      <w:proofErr w:type="spellStart"/>
      <w:r>
        <w:rPr>
          <w:rFonts w:ascii="Times New Roman" w:eastAsia="Times New Roman" w:hAnsi="Times New Roman" w:cs="Times New Roman"/>
        </w:rPr>
        <w:t>CSDG_Av</w:t>
      </w:r>
      <w:proofErr w:type="spellEnd"/>
      <w:r>
        <w:rPr>
          <w:rFonts w:ascii="Times New Roman" w:eastAsia="Times New Roman" w:hAnsi="Times New Roman" w:cs="Times New Roman"/>
        </w:rPr>
        <w:t xml:space="preserve">). Scores are only generated for an SDG if there is available data </w:t>
      </w:r>
      <w:r>
        <w:rPr>
          <w:rFonts w:ascii="Times New Roman" w:eastAsia="Times New Roman" w:hAnsi="Times New Roman" w:cs="Times New Roman"/>
        </w:rPr>
        <w:lastRenderedPageBreak/>
        <w:t xml:space="preserve">in a sufficient number of underlying indicators. We were able to obtain SDG progress scores for all 23 countries represented in our sample, </w:t>
      </w:r>
      <w:proofErr w:type="gramStart"/>
      <w:r>
        <w:rPr>
          <w:rFonts w:ascii="Times New Roman" w:eastAsia="Times New Roman" w:hAnsi="Times New Roman" w:cs="Times New Roman"/>
        </w:rPr>
        <w:t>with the exception of</w:t>
      </w:r>
      <w:proofErr w:type="gramEnd"/>
      <w:r>
        <w:rPr>
          <w:rFonts w:ascii="Times New Roman" w:eastAsia="Times New Roman" w:hAnsi="Times New Roman" w:cs="Times New Roman"/>
        </w:rPr>
        <w:t xml:space="preserve"> a country score for SDG 14 (Life Below Water) for Switzerland.</w:t>
      </w:r>
    </w:p>
    <w:p w14:paraId="7241A88A" w14:textId="77777777" w:rsidR="0030333D" w:rsidRDefault="00000000">
      <w:pPr>
        <w:spacing w:line="480" w:lineRule="auto"/>
        <w:ind w:firstLine="720"/>
        <w:jc w:val="both"/>
        <w:rPr>
          <w:rFonts w:ascii="Times New Roman" w:eastAsia="Times New Roman" w:hAnsi="Times New Roman" w:cs="Times New Roman"/>
          <w:color w:val="0000FF"/>
        </w:rPr>
      </w:pPr>
      <w:r>
        <w:rPr>
          <w:rFonts w:ascii="Times New Roman" w:eastAsia="Times New Roman" w:hAnsi="Times New Roman" w:cs="Times New Roman"/>
          <w:b/>
          <w:i/>
        </w:rPr>
        <w:t>Geo-Institutional grouping</w:t>
      </w:r>
      <w:r>
        <w:rPr>
          <w:rFonts w:ascii="Times New Roman" w:eastAsia="Times New Roman" w:hAnsi="Times New Roman" w:cs="Times New Roman"/>
        </w:rPr>
        <w:t xml:space="preserve">. As we stated above, we followed Berry and colleagues' (2010) administrative grouping, coupled with the CSR regime perspective of van </w:t>
      </w:r>
      <w:proofErr w:type="spellStart"/>
      <w:proofErr w:type="gramStart"/>
      <w:r>
        <w:rPr>
          <w:rFonts w:ascii="Times New Roman" w:eastAsia="Times New Roman" w:hAnsi="Times New Roman" w:cs="Times New Roman"/>
        </w:rPr>
        <w:t>Tulder</w:t>
      </w:r>
      <w:proofErr w:type="spellEnd"/>
      <w:proofErr w:type="gramEnd"/>
      <w:r>
        <w:rPr>
          <w:rFonts w:ascii="Times New Roman" w:eastAsia="Times New Roman" w:hAnsi="Times New Roman" w:cs="Times New Roman"/>
        </w:rPr>
        <w:t xml:space="preserve"> and van der Zwart (2006), to classify our sample into three categories: Anglo-Saxon, Continental Europe, and Asia-Pacific (dummy variables </w:t>
      </w:r>
      <w:proofErr w:type="spellStart"/>
      <w:r>
        <w:rPr>
          <w:rFonts w:ascii="Times New Roman" w:eastAsia="Times New Roman" w:hAnsi="Times New Roman" w:cs="Times New Roman"/>
        </w:rPr>
        <w:t>AngSx</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ConEur</w:t>
      </w:r>
      <w:proofErr w:type="spellEnd"/>
      <w:r>
        <w:rPr>
          <w:rFonts w:ascii="Times New Roman" w:eastAsia="Times New Roman" w:hAnsi="Times New Roman" w:cs="Times New Roman"/>
        </w:rPr>
        <w:t xml:space="preserve">, and </w:t>
      </w:r>
      <w:proofErr w:type="spellStart"/>
      <w:r>
        <w:rPr>
          <w:rFonts w:ascii="Times New Roman" w:eastAsia="Times New Roman" w:hAnsi="Times New Roman" w:cs="Times New Roman"/>
        </w:rPr>
        <w:t>AsPac</w:t>
      </w:r>
      <w:proofErr w:type="spellEnd"/>
      <w:r>
        <w:rPr>
          <w:rFonts w:ascii="Times New Roman" w:eastAsia="Times New Roman" w:hAnsi="Times New Roman" w:cs="Times New Roman"/>
        </w:rPr>
        <w:t xml:space="preserve"> respectively). Our Anglo-Saxon group included firms based in the United States, the United Kingdom, and Canada, along with Australia and India, two countries that align heavily with the legal and business traditions of the United Kingdom. Firms from Japan, South Korea, and Thailand comprised our Asia-Pacific category, and the remaining firms fell into our Continental European group. This last group included firms from the Latin American countries of Brazil and Chile, as this represented the best fit among our three geo-institutional groups in terms of legal and business traditions</w:t>
      </w:r>
      <w:r>
        <w:rPr>
          <w:rFonts w:ascii="Times New Roman" w:eastAsia="Times New Roman" w:hAnsi="Times New Roman" w:cs="Times New Roman"/>
          <w:vertAlign w:val="superscript"/>
        </w:rPr>
        <w:footnoteReference w:id="6"/>
      </w:r>
      <w:r>
        <w:rPr>
          <w:rFonts w:ascii="Times New Roman" w:eastAsia="Times New Roman" w:hAnsi="Times New Roman" w:cs="Times New Roman"/>
        </w:rPr>
        <w:t>.</w:t>
      </w:r>
    </w:p>
    <w:p w14:paraId="5BEBA58D" w14:textId="77777777" w:rsidR="0030333D" w:rsidRDefault="0030333D">
      <w:pPr>
        <w:spacing w:line="480" w:lineRule="auto"/>
        <w:rPr>
          <w:rFonts w:ascii="Times New Roman" w:eastAsia="Times New Roman" w:hAnsi="Times New Roman" w:cs="Times New Roman"/>
          <w:i/>
        </w:rPr>
      </w:pPr>
    </w:p>
    <w:p w14:paraId="7A3AEFF4" w14:textId="77777777" w:rsidR="0030333D" w:rsidRDefault="00000000">
      <w:pPr>
        <w:spacing w:line="480" w:lineRule="auto"/>
        <w:rPr>
          <w:rFonts w:ascii="Times New Roman" w:eastAsia="Times New Roman" w:hAnsi="Times New Roman" w:cs="Times New Roman"/>
          <w:i/>
        </w:rPr>
      </w:pPr>
      <w:r>
        <w:rPr>
          <w:rFonts w:ascii="Times New Roman" w:eastAsia="Times New Roman" w:hAnsi="Times New Roman" w:cs="Times New Roman"/>
          <w:i/>
        </w:rPr>
        <w:t>Control Variables</w:t>
      </w:r>
    </w:p>
    <w:p w14:paraId="42146CC2" w14:textId="77777777" w:rsidR="0030333D" w:rsidRDefault="00000000">
      <w:pPr>
        <w:spacing w:line="480" w:lineRule="auto"/>
        <w:jc w:val="both"/>
        <w:rPr>
          <w:rFonts w:ascii="Times New Roman" w:eastAsia="Times New Roman" w:hAnsi="Times New Roman" w:cs="Times New Roman"/>
        </w:rPr>
      </w:pPr>
      <w:r>
        <w:rPr>
          <w:rFonts w:ascii="Times New Roman" w:eastAsia="Times New Roman" w:hAnsi="Times New Roman" w:cs="Times New Roman"/>
          <w:b/>
          <w:i/>
        </w:rPr>
        <w:t>Industry Groups</w:t>
      </w:r>
      <w:r>
        <w:rPr>
          <w:rFonts w:ascii="Times New Roman" w:eastAsia="Times New Roman" w:hAnsi="Times New Roman" w:cs="Times New Roman"/>
          <w:i/>
        </w:rPr>
        <w:t>.</w:t>
      </w:r>
      <w:r>
        <w:rPr>
          <w:rFonts w:ascii="Times New Roman" w:eastAsia="Times New Roman" w:hAnsi="Times New Roman" w:cs="Times New Roman"/>
        </w:rPr>
        <w:t xml:space="preserve"> We recognize that pressures shaping MNE engagement with the SDGs would likely be influenced by the nature of an MNE's activities (e.g., mining versus financial services). Therefore, we used the Global Industry Classification Standard (GICS) groups to create a set of dummy control variables for five industry categories: 1) Energy-Utilities; 2) Industrials-Materials; 3) Communications-IT; 4) Consumer Products and 5) Financials-Real Estate. While most of the firms fell directly into these groupings, we had a few firms that were classified under </w:t>
      </w:r>
      <w:proofErr w:type="gramStart"/>
      <w:r>
        <w:rPr>
          <w:rFonts w:ascii="Times New Roman" w:eastAsia="Times New Roman" w:hAnsi="Times New Roman" w:cs="Times New Roman"/>
        </w:rPr>
        <w:t>Healthcare</w:t>
      </w:r>
      <w:proofErr w:type="gramEnd"/>
      <w:r>
        <w:rPr>
          <w:rFonts w:ascii="Times New Roman" w:eastAsia="Times New Roman" w:hAnsi="Times New Roman" w:cs="Times New Roman"/>
        </w:rPr>
        <w:t xml:space="preserve">. For the purposes of this study, these firms were placed </w:t>
      </w:r>
      <w:r>
        <w:rPr>
          <w:rFonts w:ascii="Times New Roman" w:eastAsia="Times New Roman" w:hAnsi="Times New Roman" w:cs="Times New Roman"/>
        </w:rPr>
        <w:lastRenderedPageBreak/>
        <w:t>in the Industrials-Materials category if their primary business was the production of medical equipment or the Financials-Real Estate category if their primary business was insurance.</w:t>
      </w:r>
    </w:p>
    <w:p w14:paraId="249D37E7"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b/>
          <w:i/>
        </w:rPr>
        <w:t>Firm’s size</w:t>
      </w:r>
      <w:r>
        <w:rPr>
          <w:rFonts w:ascii="Times New Roman" w:eastAsia="Times New Roman" w:hAnsi="Times New Roman" w:cs="Times New Roman"/>
        </w:rPr>
        <w:t>. Even though our dataset contains only large corporations, these can still vary considerably in size. As a result, we control for this in our analysis by computing the natural logarithm of sales (independent variable "</w:t>
      </w:r>
      <w:proofErr w:type="spellStart"/>
      <w:r>
        <w:rPr>
          <w:rFonts w:ascii="Times New Roman" w:eastAsia="Times New Roman" w:hAnsi="Times New Roman" w:cs="Times New Roman"/>
        </w:rPr>
        <w:t>Firmsize</w:t>
      </w:r>
      <w:proofErr w:type="spellEnd"/>
      <w:r>
        <w:rPr>
          <w:rFonts w:ascii="Times New Roman" w:eastAsia="Times New Roman" w:hAnsi="Times New Roman" w:cs="Times New Roman"/>
        </w:rPr>
        <w:t>" in the models), a measure of firm size that is widely utilized in previous work (e.g., Sharma, 2000).</w:t>
      </w:r>
    </w:p>
    <w:p w14:paraId="3E766233" w14:textId="77777777" w:rsidR="0030333D" w:rsidRDefault="00000000">
      <w:pPr>
        <w:spacing w:line="480" w:lineRule="auto"/>
        <w:jc w:val="both"/>
        <w:rPr>
          <w:rFonts w:ascii="Times New Roman" w:eastAsia="Times New Roman" w:hAnsi="Times New Roman" w:cs="Times New Roman"/>
        </w:rPr>
      </w:pPr>
      <w:r>
        <w:rPr>
          <w:rFonts w:ascii="Times New Roman" w:eastAsia="Times New Roman" w:hAnsi="Times New Roman" w:cs="Times New Roman"/>
        </w:rPr>
        <w:tab/>
      </w:r>
      <w:r>
        <w:rPr>
          <w:rFonts w:ascii="Times New Roman" w:eastAsia="Times New Roman" w:hAnsi="Times New Roman" w:cs="Times New Roman"/>
          <w:i/>
        </w:rPr>
        <w:t>Firm’s financial performance</w:t>
      </w:r>
      <w:r>
        <w:rPr>
          <w:rFonts w:ascii="Times New Roman" w:eastAsia="Times New Roman" w:hAnsi="Times New Roman" w:cs="Times New Roman"/>
        </w:rPr>
        <w:t xml:space="preserve">. </w:t>
      </w:r>
      <w:proofErr w:type="gramStart"/>
      <w:r>
        <w:rPr>
          <w:rFonts w:ascii="Times New Roman" w:eastAsia="Times New Roman" w:hAnsi="Times New Roman" w:cs="Times New Roman"/>
        </w:rPr>
        <w:t>In order to</w:t>
      </w:r>
      <w:proofErr w:type="gramEnd"/>
      <w:r>
        <w:rPr>
          <w:rFonts w:ascii="Times New Roman" w:eastAsia="Times New Roman" w:hAnsi="Times New Roman" w:cs="Times New Roman"/>
        </w:rPr>
        <w:t xml:space="preserve"> control for financial performance, we employed three widely employed measures in the research literature, namely Return of Assets (ROA), Return on Equity (ROE), and Return on Invested Capital (ROIC).</w:t>
      </w:r>
    </w:p>
    <w:p w14:paraId="5EA20ABA" w14:textId="77777777" w:rsidR="0030333D" w:rsidRDefault="00000000">
      <w:pPr>
        <w:spacing w:line="480" w:lineRule="auto"/>
        <w:jc w:val="both"/>
        <w:rPr>
          <w:rFonts w:ascii="Times New Roman" w:eastAsia="Times New Roman" w:hAnsi="Times New Roman" w:cs="Times New Roman"/>
        </w:rPr>
      </w:pPr>
      <w:r>
        <w:rPr>
          <w:rFonts w:ascii="Times New Roman" w:eastAsia="Times New Roman" w:hAnsi="Times New Roman" w:cs="Times New Roman"/>
        </w:rPr>
        <w:tab/>
      </w:r>
      <w:r>
        <w:rPr>
          <w:rFonts w:ascii="Times New Roman" w:eastAsia="Times New Roman" w:hAnsi="Times New Roman" w:cs="Times New Roman"/>
          <w:b/>
          <w:i/>
        </w:rPr>
        <w:t>Firm’s sustainability performance</w:t>
      </w:r>
      <w:r>
        <w:rPr>
          <w:rFonts w:ascii="Times New Roman" w:eastAsia="Times New Roman" w:hAnsi="Times New Roman" w:cs="Times New Roman"/>
        </w:rPr>
        <w:t xml:space="preserve">. Given that the S&amp;P listing allowed us to distinguish among three different levels of sustainability excellence, i.e., gold, silver, and bronze categories, we employed this information as a control variable for distinguishing among our top performers (dummy variables </w:t>
      </w:r>
      <w:proofErr w:type="spellStart"/>
      <w:r>
        <w:rPr>
          <w:rFonts w:ascii="Times New Roman" w:eastAsia="Times New Roman" w:hAnsi="Times New Roman" w:cs="Times New Roman"/>
        </w:rPr>
        <w:t>SP_Gold</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SP_Sil</w:t>
      </w:r>
      <w:proofErr w:type="spellEnd"/>
      <w:r>
        <w:rPr>
          <w:rFonts w:ascii="Times New Roman" w:eastAsia="Times New Roman" w:hAnsi="Times New Roman" w:cs="Times New Roman"/>
        </w:rPr>
        <w:t xml:space="preserve">, and </w:t>
      </w:r>
      <w:proofErr w:type="spellStart"/>
      <w:r>
        <w:rPr>
          <w:rFonts w:ascii="Times New Roman" w:eastAsia="Times New Roman" w:hAnsi="Times New Roman" w:cs="Times New Roman"/>
        </w:rPr>
        <w:t>SP_Br</w:t>
      </w:r>
      <w:proofErr w:type="spellEnd"/>
      <w:r>
        <w:rPr>
          <w:rFonts w:ascii="Times New Roman" w:eastAsia="Times New Roman" w:hAnsi="Times New Roman" w:cs="Times New Roman"/>
        </w:rPr>
        <w:t xml:space="preserve">). </w:t>
      </w:r>
    </w:p>
    <w:p w14:paraId="0982775C" w14:textId="77777777" w:rsidR="0030333D" w:rsidRDefault="0030333D">
      <w:pPr>
        <w:spacing w:line="480" w:lineRule="auto"/>
        <w:jc w:val="both"/>
        <w:rPr>
          <w:rFonts w:ascii="Times New Roman" w:eastAsia="Times New Roman" w:hAnsi="Times New Roman" w:cs="Times New Roman"/>
          <w:i/>
        </w:rPr>
      </w:pPr>
    </w:p>
    <w:p w14:paraId="6D29CC93" w14:textId="77777777" w:rsidR="0030333D" w:rsidRDefault="00000000">
      <w:pPr>
        <w:spacing w:line="480" w:lineRule="auto"/>
        <w:jc w:val="both"/>
        <w:rPr>
          <w:rFonts w:ascii="Times New Roman" w:eastAsia="Times New Roman" w:hAnsi="Times New Roman" w:cs="Times New Roman"/>
          <w:b/>
        </w:rPr>
      </w:pPr>
      <w:r>
        <w:rPr>
          <w:rFonts w:ascii="Times New Roman" w:eastAsia="Times New Roman" w:hAnsi="Times New Roman" w:cs="Times New Roman"/>
          <w:b/>
        </w:rPr>
        <w:t>Results and Discussion</w:t>
      </w:r>
    </w:p>
    <w:p w14:paraId="779A2088" w14:textId="77777777" w:rsidR="0030333D" w:rsidRDefault="00000000">
      <w:pPr>
        <w:spacing w:line="480" w:lineRule="auto"/>
        <w:jc w:val="both"/>
        <w:rPr>
          <w:rFonts w:ascii="Times New Roman" w:eastAsia="Times New Roman" w:hAnsi="Times New Roman" w:cs="Times New Roman"/>
          <w:i/>
        </w:rPr>
      </w:pPr>
      <w:r>
        <w:rPr>
          <w:rFonts w:ascii="Times New Roman" w:eastAsia="Times New Roman" w:hAnsi="Times New Roman" w:cs="Times New Roman"/>
          <w:i/>
        </w:rPr>
        <w:t>Empirical Results</w:t>
      </w:r>
    </w:p>
    <w:p w14:paraId="6EDEE86E" w14:textId="77777777" w:rsidR="0030333D" w:rsidRDefault="00000000">
      <w:pPr>
        <w:spacing w:line="480" w:lineRule="auto"/>
        <w:jc w:val="both"/>
        <w:rPr>
          <w:rFonts w:ascii="Times New Roman" w:eastAsia="Times New Roman" w:hAnsi="Times New Roman" w:cs="Times New Roman"/>
        </w:rPr>
      </w:pPr>
      <w:r>
        <w:rPr>
          <w:rFonts w:ascii="Times New Roman" w:eastAsia="Times New Roman" w:hAnsi="Times New Roman" w:cs="Times New Roman"/>
        </w:rPr>
        <w:t>Table 1 shows the descriptive statistics of our sample firms' engagement with the SDGs as revealed in their sustainability reports. Analysis of the SDG language alignment with these reports showed great variety in MNEs' engagement with specific SDGs. Averaged across the entire sample, language alignment was lowest with SDG 4 (Quality Education, mean=27.2) and highest for SDG 12 (Responsible Consumption &amp; Production, mean=56.4). This difference in scores may well reflect the divergent perception of public sector and private sector roles in these areas of societal impact, with education often considered to be in the domain of government sector and firms in the private sector seen as the drivers of production and consumption. The variability within each SDG's scores displayed even greater nuance, however, with individual MNE scores on single SDGs ranging from a low of 9.60 to a high of 115.52.</w:t>
      </w:r>
    </w:p>
    <w:p w14:paraId="7887BADE"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lastRenderedPageBreak/>
        <w:t xml:space="preserve"> Our results show language alignment scores were most tightly clustered for SDG 1 (No Poverty, </w:t>
      </w:r>
      <w:proofErr w:type="spellStart"/>
      <w:r>
        <w:rPr>
          <w:rFonts w:ascii="Times New Roman" w:eastAsia="Times New Roman" w:hAnsi="Times New Roman" w:cs="Times New Roman"/>
        </w:rPr>
        <w:t>s.d.</w:t>
      </w:r>
      <w:proofErr w:type="spellEnd"/>
      <w:r>
        <w:rPr>
          <w:rFonts w:ascii="Times New Roman" w:eastAsia="Times New Roman" w:hAnsi="Times New Roman" w:cs="Times New Roman"/>
        </w:rPr>
        <w:t xml:space="preserve">=5.09), SDG 14 (Life Below Water, </w:t>
      </w:r>
      <w:proofErr w:type="spellStart"/>
      <w:r>
        <w:rPr>
          <w:rFonts w:ascii="Times New Roman" w:eastAsia="Times New Roman" w:hAnsi="Times New Roman" w:cs="Times New Roman"/>
        </w:rPr>
        <w:t>s.d.</w:t>
      </w:r>
      <w:proofErr w:type="spellEnd"/>
      <w:r>
        <w:rPr>
          <w:rFonts w:ascii="Times New Roman" w:eastAsia="Times New Roman" w:hAnsi="Times New Roman" w:cs="Times New Roman"/>
        </w:rPr>
        <w:t xml:space="preserve">=5.19), SDG 16 (Peace, Justice &amp; Strong Institutions, </w:t>
      </w:r>
      <w:proofErr w:type="spellStart"/>
      <w:r>
        <w:rPr>
          <w:rFonts w:ascii="Times New Roman" w:eastAsia="Times New Roman" w:hAnsi="Times New Roman" w:cs="Times New Roman"/>
        </w:rPr>
        <w:t>s.d.</w:t>
      </w:r>
      <w:proofErr w:type="spellEnd"/>
      <w:r>
        <w:rPr>
          <w:rFonts w:ascii="Times New Roman" w:eastAsia="Times New Roman" w:hAnsi="Times New Roman" w:cs="Times New Roman"/>
        </w:rPr>
        <w:t xml:space="preserve">=5.19) and SDG 10 (Reduced Inequalities, </w:t>
      </w:r>
      <w:proofErr w:type="spellStart"/>
      <w:r>
        <w:rPr>
          <w:rFonts w:ascii="Times New Roman" w:eastAsia="Times New Roman" w:hAnsi="Times New Roman" w:cs="Times New Roman"/>
        </w:rPr>
        <w:t>s.d.</w:t>
      </w:r>
      <w:proofErr w:type="spellEnd"/>
      <w:r>
        <w:rPr>
          <w:rFonts w:ascii="Times New Roman" w:eastAsia="Times New Roman" w:hAnsi="Times New Roman" w:cs="Times New Roman"/>
        </w:rPr>
        <w:t xml:space="preserve">=5.20) and the widest dispersions in the scores for SDG 6 (Clean Water &amp; Sanitation, </w:t>
      </w:r>
      <w:proofErr w:type="spellStart"/>
      <w:r>
        <w:rPr>
          <w:rFonts w:ascii="Times New Roman" w:eastAsia="Times New Roman" w:hAnsi="Times New Roman" w:cs="Times New Roman"/>
        </w:rPr>
        <w:t>s.d.</w:t>
      </w:r>
      <w:proofErr w:type="spellEnd"/>
      <w:r>
        <w:rPr>
          <w:rFonts w:ascii="Times New Roman" w:eastAsia="Times New Roman" w:hAnsi="Times New Roman" w:cs="Times New Roman"/>
        </w:rPr>
        <w:t xml:space="preserve">=14.77) and SDG7 (Affordable &amp; Clean Energy, </w:t>
      </w:r>
      <w:proofErr w:type="spellStart"/>
      <w:r>
        <w:rPr>
          <w:rFonts w:ascii="Times New Roman" w:eastAsia="Times New Roman" w:hAnsi="Times New Roman" w:cs="Times New Roman"/>
        </w:rPr>
        <w:t>s.d.</w:t>
      </w:r>
      <w:proofErr w:type="spellEnd"/>
      <w:r>
        <w:rPr>
          <w:rFonts w:ascii="Times New Roman" w:eastAsia="Times New Roman" w:hAnsi="Times New Roman" w:cs="Times New Roman"/>
        </w:rPr>
        <w:t>=16.94). This suggests that among the SDGs, there are those that represent issues with a more common impact or relevance across all firms (such as poverty, equality, and peace and justice) and others that are more varied in their materiality to certain firms (such as clean water for a beverage company or clean energy for a transportation company).</w:t>
      </w:r>
    </w:p>
    <w:p w14:paraId="0A18E10B" w14:textId="77777777" w:rsidR="0030333D" w:rsidRDefault="00000000">
      <w:pPr>
        <w:spacing w:line="240" w:lineRule="auto"/>
        <w:jc w:val="center"/>
        <w:rPr>
          <w:rFonts w:ascii="Times New Roman" w:eastAsia="Times New Roman" w:hAnsi="Times New Roman" w:cs="Times New Roman"/>
        </w:rPr>
      </w:pPr>
      <w:r>
        <w:rPr>
          <w:rFonts w:ascii="Times New Roman" w:eastAsia="Times New Roman" w:hAnsi="Times New Roman" w:cs="Times New Roman"/>
        </w:rPr>
        <w:t>-----------------------------------</w:t>
      </w:r>
    </w:p>
    <w:p w14:paraId="777E295A" w14:textId="77777777" w:rsidR="0030333D" w:rsidRDefault="00000000">
      <w:pPr>
        <w:spacing w:line="240" w:lineRule="auto"/>
        <w:jc w:val="center"/>
        <w:rPr>
          <w:rFonts w:ascii="Times New Roman" w:eastAsia="Times New Roman" w:hAnsi="Times New Roman" w:cs="Times New Roman"/>
        </w:rPr>
      </w:pPr>
      <w:r>
        <w:rPr>
          <w:rFonts w:ascii="Times New Roman" w:eastAsia="Times New Roman" w:hAnsi="Times New Roman" w:cs="Times New Roman"/>
        </w:rPr>
        <w:t xml:space="preserve">Insert Table 1 about </w:t>
      </w:r>
      <w:proofErr w:type="gramStart"/>
      <w:r>
        <w:rPr>
          <w:rFonts w:ascii="Times New Roman" w:eastAsia="Times New Roman" w:hAnsi="Times New Roman" w:cs="Times New Roman"/>
        </w:rPr>
        <w:t>here</w:t>
      </w:r>
      <w:proofErr w:type="gramEnd"/>
    </w:p>
    <w:p w14:paraId="3E05510A" w14:textId="77777777" w:rsidR="0030333D" w:rsidRDefault="00000000">
      <w:pPr>
        <w:spacing w:line="240" w:lineRule="auto"/>
        <w:jc w:val="center"/>
        <w:rPr>
          <w:rFonts w:ascii="Times New Roman" w:eastAsia="Times New Roman" w:hAnsi="Times New Roman" w:cs="Times New Roman"/>
        </w:rPr>
      </w:pPr>
      <w:r>
        <w:rPr>
          <w:rFonts w:ascii="Times New Roman" w:eastAsia="Times New Roman" w:hAnsi="Times New Roman" w:cs="Times New Roman"/>
        </w:rPr>
        <w:t>-----------------------------------</w:t>
      </w:r>
    </w:p>
    <w:p w14:paraId="6D02C379" w14:textId="77777777" w:rsidR="0030333D" w:rsidRDefault="0030333D">
      <w:pPr>
        <w:spacing w:line="240" w:lineRule="auto"/>
        <w:jc w:val="center"/>
        <w:rPr>
          <w:rFonts w:ascii="Times New Roman" w:eastAsia="Times New Roman" w:hAnsi="Times New Roman" w:cs="Times New Roman"/>
          <w:shd w:val="clear" w:color="auto" w:fill="E06666"/>
        </w:rPr>
      </w:pPr>
    </w:p>
    <w:p w14:paraId="1E11E6CE"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Tables 2 and 3 show the descriptive statistics of home country SDG progress in our sample. The SDG progress scores showed noticeable variation from country to country, indicative of the uneven progress being made across the globe toward the UN goals. The average progress scores for countries represented in our sample ranged from 61.08 for India to 84.99 for Sweden. The individual SDG progress scores varied much more widely, however. Sweden, the highest-ranked country represented in our sample (number 2 globally in 2019, behind Denmark), scored a perfect 100 on SDG 10 (reduced inequalities), but only scored 42.3 on SDG 14 (life below water) and 52.2 on SDG 12 (responsible consumption &amp; production). India, lowest ranked overall in our sample, scored 28.7 on SDG 9 (industry, innovation &amp; infrastructure) and 33.2 on SDG 5 (gender equality), yet scored 94.5 on each of SDG 12 and SDG 13 (climate action). These observations underscore how varied, and complex are the national contexts in which MNEs approach each of the SDGs.</w:t>
      </w:r>
    </w:p>
    <w:p w14:paraId="2FD02B67" w14:textId="77777777" w:rsidR="0030333D" w:rsidRDefault="00000000">
      <w:pPr>
        <w:spacing w:line="240" w:lineRule="auto"/>
        <w:jc w:val="center"/>
        <w:rPr>
          <w:rFonts w:ascii="Times New Roman" w:eastAsia="Times New Roman" w:hAnsi="Times New Roman" w:cs="Times New Roman"/>
        </w:rPr>
      </w:pPr>
      <w:r>
        <w:rPr>
          <w:rFonts w:ascii="Times New Roman" w:eastAsia="Times New Roman" w:hAnsi="Times New Roman" w:cs="Times New Roman"/>
        </w:rPr>
        <w:t xml:space="preserve"> -------------------------------------------------</w:t>
      </w:r>
    </w:p>
    <w:p w14:paraId="601DDB98" w14:textId="77777777" w:rsidR="0030333D" w:rsidRDefault="00000000">
      <w:pPr>
        <w:spacing w:line="240" w:lineRule="auto"/>
        <w:jc w:val="center"/>
        <w:rPr>
          <w:rFonts w:ascii="Times New Roman" w:eastAsia="Times New Roman" w:hAnsi="Times New Roman" w:cs="Times New Roman"/>
        </w:rPr>
      </w:pPr>
      <w:r>
        <w:rPr>
          <w:rFonts w:ascii="Times New Roman" w:eastAsia="Times New Roman" w:hAnsi="Times New Roman" w:cs="Times New Roman"/>
        </w:rPr>
        <w:t xml:space="preserve">Insert Table 2 and Table 3 about </w:t>
      </w:r>
      <w:proofErr w:type="gramStart"/>
      <w:r>
        <w:rPr>
          <w:rFonts w:ascii="Times New Roman" w:eastAsia="Times New Roman" w:hAnsi="Times New Roman" w:cs="Times New Roman"/>
        </w:rPr>
        <w:t>here</w:t>
      </w:r>
      <w:proofErr w:type="gramEnd"/>
    </w:p>
    <w:p w14:paraId="747E3380" w14:textId="77777777" w:rsidR="0030333D" w:rsidRDefault="00000000">
      <w:pPr>
        <w:spacing w:line="240" w:lineRule="auto"/>
        <w:jc w:val="center"/>
        <w:rPr>
          <w:rFonts w:ascii="Times New Roman" w:eastAsia="Times New Roman" w:hAnsi="Times New Roman" w:cs="Times New Roman"/>
        </w:rPr>
      </w:pPr>
      <w:r>
        <w:rPr>
          <w:rFonts w:ascii="Times New Roman" w:eastAsia="Times New Roman" w:hAnsi="Times New Roman" w:cs="Times New Roman"/>
        </w:rPr>
        <w:t>-------------------------------------------------</w:t>
      </w:r>
    </w:p>
    <w:p w14:paraId="288ABB2C" w14:textId="77777777" w:rsidR="0030333D" w:rsidRDefault="0030333D">
      <w:pPr>
        <w:spacing w:line="240" w:lineRule="auto"/>
        <w:jc w:val="center"/>
        <w:rPr>
          <w:rFonts w:ascii="Times New Roman" w:eastAsia="Times New Roman" w:hAnsi="Times New Roman" w:cs="Times New Roman"/>
          <w:shd w:val="clear" w:color="auto" w:fill="E06666"/>
        </w:rPr>
      </w:pPr>
    </w:p>
    <w:p w14:paraId="6D3B629F"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Beyond the detailed descriptions of the firm and country SDG values, table 4 shows the statistics of our independent variables (excluding dummy variables). Since the variables ROA and ROIC showed a significant correlation, we reran the regressions by discarding either variable with no significant change in our results. For the rest of the values, our analysis does not suggest any potential for serious </w:t>
      </w:r>
      <w:r>
        <w:rPr>
          <w:rFonts w:ascii="Times New Roman" w:eastAsia="Times New Roman" w:hAnsi="Times New Roman" w:cs="Times New Roman"/>
        </w:rPr>
        <w:lastRenderedPageBreak/>
        <w:t xml:space="preserve">multicollinearity, and the variance inflation analysis (VIF) also confirms the suitability of our analysis (Kang, Mahoney, &amp; Tan, 2009). </w:t>
      </w:r>
    </w:p>
    <w:p w14:paraId="1A434D39" w14:textId="77777777" w:rsidR="0030333D" w:rsidRDefault="00000000">
      <w:pPr>
        <w:spacing w:line="240" w:lineRule="auto"/>
        <w:jc w:val="center"/>
        <w:rPr>
          <w:rFonts w:ascii="Times New Roman" w:eastAsia="Times New Roman" w:hAnsi="Times New Roman" w:cs="Times New Roman"/>
        </w:rPr>
      </w:pPr>
      <w:r>
        <w:rPr>
          <w:rFonts w:ascii="Times New Roman" w:eastAsia="Times New Roman" w:hAnsi="Times New Roman" w:cs="Times New Roman"/>
        </w:rPr>
        <w:t>-----------------------------------</w:t>
      </w:r>
    </w:p>
    <w:p w14:paraId="22F64712" w14:textId="77777777" w:rsidR="0030333D" w:rsidRDefault="00000000">
      <w:pPr>
        <w:spacing w:line="240" w:lineRule="auto"/>
        <w:jc w:val="center"/>
        <w:rPr>
          <w:rFonts w:ascii="Times New Roman" w:eastAsia="Times New Roman" w:hAnsi="Times New Roman" w:cs="Times New Roman"/>
        </w:rPr>
      </w:pPr>
      <w:r>
        <w:rPr>
          <w:rFonts w:ascii="Times New Roman" w:eastAsia="Times New Roman" w:hAnsi="Times New Roman" w:cs="Times New Roman"/>
        </w:rPr>
        <w:t xml:space="preserve">Insert Table 4 about </w:t>
      </w:r>
      <w:proofErr w:type="gramStart"/>
      <w:r>
        <w:rPr>
          <w:rFonts w:ascii="Times New Roman" w:eastAsia="Times New Roman" w:hAnsi="Times New Roman" w:cs="Times New Roman"/>
        </w:rPr>
        <w:t>here</w:t>
      </w:r>
      <w:proofErr w:type="gramEnd"/>
    </w:p>
    <w:p w14:paraId="5D113C54" w14:textId="77777777" w:rsidR="0030333D" w:rsidRDefault="00000000">
      <w:pPr>
        <w:spacing w:line="240" w:lineRule="auto"/>
        <w:jc w:val="center"/>
        <w:rPr>
          <w:rFonts w:ascii="Times New Roman" w:eastAsia="Times New Roman" w:hAnsi="Times New Roman" w:cs="Times New Roman"/>
        </w:rPr>
      </w:pPr>
      <w:r>
        <w:rPr>
          <w:rFonts w:ascii="Times New Roman" w:eastAsia="Times New Roman" w:hAnsi="Times New Roman" w:cs="Times New Roman"/>
        </w:rPr>
        <w:t>-----------------------------------</w:t>
      </w:r>
    </w:p>
    <w:p w14:paraId="79444498" w14:textId="77777777" w:rsidR="0030333D" w:rsidRDefault="0030333D">
      <w:pPr>
        <w:spacing w:line="240" w:lineRule="auto"/>
        <w:jc w:val="center"/>
        <w:rPr>
          <w:rFonts w:ascii="Times New Roman" w:eastAsia="Times New Roman" w:hAnsi="Times New Roman" w:cs="Times New Roman"/>
          <w:shd w:val="clear" w:color="auto" w:fill="E06666"/>
        </w:rPr>
      </w:pPr>
    </w:p>
    <w:p w14:paraId="4B087281"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Tables 5 and 6 summarize our STATA regression models testing our hypotheses, with the MNE alignment scores for each SDG (and the all-SDG average) as the dependent variables. For the SDG average, table 5 displays all the steps we employed for the regression (models 1 to 3). With respect to each individual SDG score, Table 6 summarizes the values from the full regression (i.e., model 3 for each SDG).</w:t>
      </w:r>
    </w:p>
    <w:p w14:paraId="1E1D9F4C" w14:textId="77777777" w:rsidR="0030333D" w:rsidRDefault="00000000">
      <w:pPr>
        <w:spacing w:line="240" w:lineRule="auto"/>
        <w:jc w:val="center"/>
        <w:rPr>
          <w:rFonts w:ascii="Times New Roman" w:eastAsia="Times New Roman" w:hAnsi="Times New Roman" w:cs="Times New Roman"/>
        </w:rPr>
      </w:pPr>
      <w:r>
        <w:rPr>
          <w:rFonts w:ascii="Times New Roman" w:eastAsia="Times New Roman" w:hAnsi="Times New Roman" w:cs="Times New Roman"/>
        </w:rPr>
        <w:t>-------------------------------------------------</w:t>
      </w:r>
    </w:p>
    <w:p w14:paraId="7174F7AE" w14:textId="77777777" w:rsidR="0030333D" w:rsidRDefault="00000000">
      <w:pPr>
        <w:spacing w:line="240" w:lineRule="auto"/>
        <w:jc w:val="center"/>
        <w:rPr>
          <w:rFonts w:ascii="Times New Roman" w:eastAsia="Times New Roman" w:hAnsi="Times New Roman" w:cs="Times New Roman"/>
        </w:rPr>
      </w:pPr>
      <w:r>
        <w:rPr>
          <w:rFonts w:ascii="Times New Roman" w:eastAsia="Times New Roman" w:hAnsi="Times New Roman" w:cs="Times New Roman"/>
        </w:rPr>
        <w:t xml:space="preserve">Insert Table 5 and Table 6 about </w:t>
      </w:r>
      <w:proofErr w:type="gramStart"/>
      <w:r>
        <w:rPr>
          <w:rFonts w:ascii="Times New Roman" w:eastAsia="Times New Roman" w:hAnsi="Times New Roman" w:cs="Times New Roman"/>
        </w:rPr>
        <w:t>here</w:t>
      </w:r>
      <w:proofErr w:type="gramEnd"/>
    </w:p>
    <w:p w14:paraId="2F4EBC95" w14:textId="77777777" w:rsidR="0030333D" w:rsidRDefault="00000000">
      <w:pPr>
        <w:spacing w:line="240" w:lineRule="auto"/>
        <w:jc w:val="center"/>
        <w:rPr>
          <w:rFonts w:ascii="Times New Roman" w:eastAsia="Times New Roman" w:hAnsi="Times New Roman" w:cs="Times New Roman"/>
        </w:rPr>
      </w:pPr>
      <w:r>
        <w:rPr>
          <w:rFonts w:ascii="Times New Roman" w:eastAsia="Times New Roman" w:hAnsi="Times New Roman" w:cs="Times New Roman"/>
        </w:rPr>
        <w:t>-------------------------------------------------</w:t>
      </w:r>
    </w:p>
    <w:p w14:paraId="7AA56908" w14:textId="77777777" w:rsidR="0030333D" w:rsidRDefault="0030333D">
      <w:pPr>
        <w:spacing w:line="240" w:lineRule="auto"/>
        <w:jc w:val="center"/>
        <w:rPr>
          <w:rFonts w:ascii="Times New Roman" w:eastAsia="Times New Roman" w:hAnsi="Times New Roman" w:cs="Times New Roman"/>
        </w:rPr>
      </w:pPr>
    </w:p>
    <w:p w14:paraId="36BB4DFE" w14:textId="77777777" w:rsidR="0030333D" w:rsidRDefault="00000000">
      <w:pPr>
        <w:spacing w:line="480" w:lineRule="auto"/>
        <w:jc w:val="both"/>
        <w:rPr>
          <w:rFonts w:ascii="Times New Roman" w:eastAsia="Times New Roman" w:hAnsi="Times New Roman" w:cs="Times New Roman"/>
        </w:rPr>
      </w:pPr>
      <w:r>
        <w:rPr>
          <w:rFonts w:ascii="Times New Roman" w:eastAsia="Times New Roman" w:hAnsi="Times New Roman" w:cs="Times New Roman"/>
        </w:rPr>
        <w:t>For each group of dummy variables, STATA omitted one variable from the regression, as shown. For the overall level of company engagement with the SDGs (Table 5), we find that Firm SDG Average (</w:t>
      </w:r>
      <w:proofErr w:type="spellStart"/>
      <w:r>
        <w:rPr>
          <w:rFonts w:ascii="Times New Roman" w:eastAsia="Times New Roman" w:hAnsi="Times New Roman" w:cs="Times New Roman"/>
        </w:rPr>
        <w:t>FSDGAv</w:t>
      </w:r>
      <w:proofErr w:type="spellEnd"/>
      <w:r>
        <w:rPr>
          <w:rFonts w:ascii="Times New Roman" w:eastAsia="Times New Roman" w:hAnsi="Times New Roman" w:cs="Times New Roman"/>
        </w:rPr>
        <w:t>) was negatively related to Country SDG Average (</w:t>
      </w:r>
      <w:proofErr w:type="spellStart"/>
      <w:r>
        <w:rPr>
          <w:rFonts w:ascii="Times New Roman" w:eastAsia="Times New Roman" w:hAnsi="Times New Roman" w:cs="Times New Roman"/>
        </w:rPr>
        <w:t>CSDG_Avg</w:t>
      </w:r>
      <w:proofErr w:type="spellEnd"/>
      <w:r>
        <w:rPr>
          <w:rFonts w:ascii="Times New Roman" w:eastAsia="Times New Roman" w:hAnsi="Times New Roman" w:cs="Times New Roman"/>
        </w:rPr>
        <w:t xml:space="preserve">) (p&lt;0.001), which lends general support for the </w:t>
      </w:r>
      <w:r>
        <w:rPr>
          <w:rFonts w:ascii="Times New Roman" w:eastAsia="Times New Roman" w:hAnsi="Times New Roman" w:cs="Times New Roman"/>
          <w:i/>
        </w:rPr>
        <w:t xml:space="preserve">liability of origin </w:t>
      </w:r>
      <w:r>
        <w:rPr>
          <w:rFonts w:ascii="Times New Roman" w:eastAsia="Times New Roman" w:hAnsi="Times New Roman" w:cs="Times New Roman"/>
        </w:rPr>
        <w:t xml:space="preserve">pattern. However, when considering alignment with individual SDGs (Table 6), we see that only some of the SDGs exhibit the liability of origin pattern. In contrast, other SDGs show evidence of mimetic isomorphism or no significant relationship. As seen in Table 6, SDGs 1, 2, 3, 4, 5, 6, 11, 15 &amp; 16 (no poverty, zero hunger, good health &amp; wellbeing, quality education, gender equality, clean water &amp; sanitation, sustainable cities &amp; communities, life on land, and peace, justice &amp; strong institutions) showed a negative relationship between MNE engagement and home country progress, i.e., in line with the liability of origin pattern. SDGs 7, 8, 9, 10, 13, 14 &amp; 17 (affordable &amp; clean energy, decent work &amp; economic growth, industry, innovation &amp; infrastructure, reduced inequalities, climate action, life below water, and partnerships for the goals) showed no significant relationship, and one, SDG 12 (responsible consumption &amp; production) showed a significant positive relationship, suggesting mimetic isomorphism. These results are particularly intriguing, as they seem to suggest that the </w:t>
      </w:r>
      <w:r>
        <w:rPr>
          <w:rFonts w:ascii="Times New Roman" w:eastAsia="Times New Roman" w:hAnsi="Times New Roman" w:cs="Times New Roman"/>
          <w:i/>
        </w:rPr>
        <w:t>liability of origin</w:t>
      </w:r>
      <w:r>
        <w:rPr>
          <w:rFonts w:ascii="Times New Roman" w:eastAsia="Times New Roman" w:hAnsi="Times New Roman" w:cs="Times New Roman"/>
        </w:rPr>
        <w:t xml:space="preserve"> mechanism or a “substitution engagement” takes place for goals that are traditionally associated with “the public sector.” On the other hand, we see signs of </w:t>
      </w:r>
      <w:r>
        <w:rPr>
          <w:rFonts w:ascii="Times New Roman" w:eastAsia="Times New Roman" w:hAnsi="Times New Roman" w:cs="Times New Roman"/>
          <w:i/>
        </w:rPr>
        <w:t>mimetic isomorphism</w:t>
      </w:r>
      <w:r>
        <w:rPr>
          <w:rFonts w:ascii="Times New Roman" w:eastAsia="Times New Roman" w:hAnsi="Times New Roman" w:cs="Times New Roman"/>
        </w:rPr>
        <w:t xml:space="preserve"> in firms’ engagement with SDG 12 (responsible consumption </w:t>
      </w:r>
      <w:r>
        <w:rPr>
          <w:rFonts w:ascii="Times New Roman" w:eastAsia="Times New Roman" w:hAnsi="Times New Roman" w:cs="Times New Roman"/>
        </w:rPr>
        <w:lastRenderedPageBreak/>
        <w:t xml:space="preserve">&amp; production), which is, among the 17, the goal that is, on the surface, most directly associated with private sector action. </w:t>
      </w:r>
    </w:p>
    <w:p w14:paraId="4AABED4D" w14:textId="77777777" w:rsidR="0030333D" w:rsidRDefault="00000000">
      <w:pPr>
        <w:spacing w:line="480" w:lineRule="auto"/>
        <w:jc w:val="both"/>
        <w:rPr>
          <w:rFonts w:ascii="Times New Roman" w:eastAsia="Times New Roman" w:hAnsi="Times New Roman" w:cs="Times New Roman"/>
        </w:rPr>
      </w:pPr>
      <w:r>
        <w:rPr>
          <w:rFonts w:ascii="Times New Roman" w:eastAsia="Times New Roman" w:hAnsi="Times New Roman" w:cs="Times New Roman"/>
        </w:rPr>
        <w:tab/>
        <w:t>Regarding the geo-institutional groups, Table 5 shows that the Asia-Pacific group demonstrated lower average SDG language incorporation than the Anglo-Saxon group (omitted dummy variable, p&lt;0.01). The Continental Europe group was statistically equivalent in SDG language incorporation to the Anglo-Saxon group. When considering individual SDG scores by geo-institutional groups, Table 6 revealed more nuance across the individual SDGs. Our analysis reveals that while geo-institutional group membership had little or no impact on SDG language adoption for seven of the 17 SDGs, the remaining ten SDGs did see a significant impact (p&lt;0.10). Firms from the Continental European country group had a significantly higher engagement (when compared to the other two country groups) with SDGs 9 &amp; 16 (industry, innovation &amp; infrastructure, and peace, justice &amp; strong institutions). Firms from the Anglo-Saxon group showed significantly higher engagement with SDGs 5, 6, 7, 12 &amp; 15 (gender equity, clean water &amp; sanitation, affordable &amp; clean energy, responsible consumption &amp; production, and life on land), when compared to the other two country groups. Firms from the Asia-Pacific group did not show significantly higher engagement with any of the SDGs (when compared to the other two country groups), however, these firms showed significantly lower engagement with SDGs 1, 3, 5, 7 &amp; 13 (no poverty, good health &amp; wellbeing, gender equity, affordable &amp; clean energy, and responsible consumption &amp; production).</w:t>
      </w:r>
    </w:p>
    <w:p w14:paraId="40BB8F9E"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Table 7 shows the results of similar regression analyses conducted separately on each of the three geo-institutional segments of our sample. With regards to the overall SDG language alignment (Average in Table 7), firms in the Anglo-Saxon and Continental European contexts showed a significant, negative relationship with country SDG progress, as in the combined sample (Table 5). In the case of the Asia-Pacific group, however, this relationship was not significant, supporting our proposition of variability across groups. Results for the individual SDG models showed considerable variation across the geo-institutional groups. For the Continental Europe group, firm SDG language alignment was negatively related to home country SDG progress for SDGs 1, 3, 5, 7, 10, 15 &amp; 16 (no poverty, good health &amp; wellbeing, gender equality, renewable energy, reduced inequalities, life on land; and peace, justice &amp; strong </w:t>
      </w:r>
      <w:r>
        <w:rPr>
          <w:rFonts w:ascii="Times New Roman" w:eastAsia="Times New Roman" w:hAnsi="Times New Roman" w:cs="Times New Roman"/>
        </w:rPr>
        <w:lastRenderedPageBreak/>
        <w:t>institutions), with no significant relationships for the remaining SDGs. For the Anglo-Saxon group, SDGs 3, 6, 9, 11 &amp; 14 (good health &amp; wellbeing, clean water &amp; sanitation, innovation &amp; infrastructure, sustainable cities &amp; communities, and life below water) showed the expected negative relationship between firm engagement and home country progress, but SDG 12 (responsible consumption &amp; production) and SDG 17 (partnerships for the goals) showed positive relationships. For the Asia-Pacific group, SDGs 6, 13 &amp; 17 (clean water &amp; sanitation; climate action; and partnerships for the goals) showed the expected negative relationships, but SDGs 10, 11 &amp; 12 (reduced inequalities, sustainable cities &amp; communities, and responsible consumption &amp; production) showed positive relationships.</w:t>
      </w:r>
    </w:p>
    <w:p w14:paraId="768188C5" w14:textId="77777777" w:rsidR="0030333D" w:rsidRDefault="00000000">
      <w:pPr>
        <w:spacing w:line="240" w:lineRule="auto"/>
        <w:jc w:val="center"/>
        <w:rPr>
          <w:rFonts w:ascii="Times New Roman" w:eastAsia="Times New Roman" w:hAnsi="Times New Roman" w:cs="Times New Roman"/>
        </w:rPr>
      </w:pPr>
      <w:r>
        <w:rPr>
          <w:rFonts w:ascii="Times New Roman" w:eastAsia="Times New Roman" w:hAnsi="Times New Roman" w:cs="Times New Roman"/>
        </w:rPr>
        <w:t>----------------------------------</w:t>
      </w:r>
    </w:p>
    <w:p w14:paraId="6268EEBE" w14:textId="77777777" w:rsidR="0030333D" w:rsidRDefault="00000000">
      <w:pPr>
        <w:spacing w:line="240" w:lineRule="auto"/>
        <w:jc w:val="center"/>
        <w:rPr>
          <w:rFonts w:ascii="Times New Roman" w:eastAsia="Times New Roman" w:hAnsi="Times New Roman" w:cs="Times New Roman"/>
        </w:rPr>
      </w:pPr>
      <w:r>
        <w:rPr>
          <w:rFonts w:ascii="Times New Roman" w:eastAsia="Times New Roman" w:hAnsi="Times New Roman" w:cs="Times New Roman"/>
        </w:rPr>
        <w:t xml:space="preserve">Insert Table 7 about </w:t>
      </w:r>
      <w:proofErr w:type="gramStart"/>
      <w:r>
        <w:rPr>
          <w:rFonts w:ascii="Times New Roman" w:eastAsia="Times New Roman" w:hAnsi="Times New Roman" w:cs="Times New Roman"/>
        </w:rPr>
        <w:t>here</w:t>
      </w:r>
      <w:proofErr w:type="gramEnd"/>
    </w:p>
    <w:p w14:paraId="6E9BCE8E" w14:textId="77777777" w:rsidR="0030333D" w:rsidRDefault="00000000">
      <w:pPr>
        <w:spacing w:line="240" w:lineRule="auto"/>
        <w:jc w:val="center"/>
        <w:rPr>
          <w:rFonts w:ascii="Times New Roman" w:eastAsia="Times New Roman" w:hAnsi="Times New Roman" w:cs="Times New Roman"/>
        </w:rPr>
      </w:pPr>
      <w:r>
        <w:rPr>
          <w:rFonts w:ascii="Times New Roman" w:eastAsia="Times New Roman" w:hAnsi="Times New Roman" w:cs="Times New Roman"/>
        </w:rPr>
        <w:t>-----------------------------------</w:t>
      </w:r>
    </w:p>
    <w:p w14:paraId="6A500E20"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The varied nature of these results conveys the underlying complexity in firms’ engagement with the SDG framework and the relevance of home country context. We find that a </w:t>
      </w:r>
      <w:r>
        <w:rPr>
          <w:rFonts w:ascii="Times New Roman" w:eastAsia="Times New Roman" w:hAnsi="Times New Roman" w:cs="Times New Roman"/>
          <w:i/>
        </w:rPr>
        <w:t>liability of origin</w:t>
      </w:r>
      <w:r>
        <w:rPr>
          <w:rFonts w:ascii="Times New Roman" w:eastAsia="Times New Roman" w:hAnsi="Times New Roman" w:cs="Times New Roman"/>
        </w:rPr>
        <w:t xml:space="preserve"> response is supported for only certain SDGs and that there is very little commonality in those SDGs across geo-institutional groups. The same holds for the fewer SDGs that exhibit a </w:t>
      </w:r>
      <w:r>
        <w:rPr>
          <w:rFonts w:ascii="Times New Roman" w:eastAsia="Times New Roman" w:hAnsi="Times New Roman" w:cs="Times New Roman"/>
          <w:i/>
        </w:rPr>
        <w:t>mimetic isomorphism</w:t>
      </w:r>
      <w:r>
        <w:rPr>
          <w:rFonts w:ascii="Times New Roman" w:eastAsia="Times New Roman" w:hAnsi="Times New Roman" w:cs="Times New Roman"/>
        </w:rPr>
        <w:t xml:space="preserve"> response. These variations are illustrated in Figure 1. It can be seen, for example, that there is no overlap in the SDGs that show substitution relationships between the Continental Europe and Asia-Pacific groups. The Anglo-Saxon group shares one SDG in common with each of the other groups and shows this type of relationship with 3 SDGs that are not present for the other groups. Much remains to be understood about the connection between these groups of SDGs and the specific nature of the geo-institutional groups, but it appears that many of the goals that show the </w:t>
      </w:r>
      <w:r>
        <w:rPr>
          <w:rFonts w:ascii="Times New Roman" w:eastAsia="Times New Roman" w:hAnsi="Times New Roman" w:cs="Times New Roman"/>
          <w:i/>
        </w:rPr>
        <w:t>liability of origin</w:t>
      </w:r>
      <w:r>
        <w:rPr>
          <w:rFonts w:ascii="Times New Roman" w:eastAsia="Times New Roman" w:hAnsi="Times New Roman" w:cs="Times New Roman"/>
        </w:rPr>
        <w:t xml:space="preserve"> tendency among the Continental European firms are related to social challenges, such as poverty, inequities, and justice, while for Anglo-Saxon firms this tendency is seen in goals that appear to relate to community systems and infrastructure. While a much smaller number of significant complementary relationships were observed in our analysis (as evidenced by positive regression coefficients in Table 7), the difference across geo-institutional groups is again clear. No complementary relationships are seen in the Continental Europe group, while the Anglo-Saxon and Asia-Pacific groups share one SDG in common, among others that are unique to each group.</w:t>
      </w:r>
    </w:p>
    <w:p w14:paraId="1C3ADB3C" w14:textId="77777777" w:rsidR="0030333D" w:rsidRDefault="00000000">
      <w:pPr>
        <w:spacing w:line="240" w:lineRule="auto"/>
        <w:jc w:val="center"/>
        <w:rPr>
          <w:rFonts w:ascii="Times New Roman" w:eastAsia="Times New Roman" w:hAnsi="Times New Roman" w:cs="Times New Roman"/>
        </w:rPr>
      </w:pPr>
      <w:r>
        <w:rPr>
          <w:rFonts w:ascii="Times New Roman" w:eastAsia="Times New Roman" w:hAnsi="Times New Roman" w:cs="Times New Roman"/>
        </w:rPr>
        <w:lastRenderedPageBreak/>
        <w:t>----------------------------------</w:t>
      </w:r>
    </w:p>
    <w:p w14:paraId="18F95F12" w14:textId="77777777" w:rsidR="0030333D" w:rsidRDefault="00000000">
      <w:pPr>
        <w:spacing w:line="240" w:lineRule="auto"/>
        <w:jc w:val="center"/>
        <w:rPr>
          <w:rFonts w:ascii="Times New Roman" w:eastAsia="Times New Roman" w:hAnsi="Times New Roman" w:cs="Times New Roman"/>
        </w:rPr>
      </w:pPr>
      <w:r>
        <w:rPr>
          <w:rFonts w:ascii="Times New Roman" w:eastAsia="Times New Roman" w:hAnsi="Times New Roman" w:cs="Times New Roman"/>
        </w:rPr>
        <w:t xml:space="preserve">Insert Figure 1 about </w:t>
      </w:r>
      <w:proofErr w:type="gramStart"/>
      <w:r>
        <w:rPr>
          <w:rFonts w:ascii="Times New Roman" w:eastAsia="Times New Roman" w:hAnsi="Times New Roman" w:cs="Times New Roman"/>
        </w:rPr>
        <w:t>here</w:t>
      </w:r>
      <w:proofErr w:type="gramEnd"/>
    </w:p>
    <w:p w14:paraId="31C0F9F3" w14:textId="77777777" w:rsidR="0030333D" w:rsidRDefault="00000000">
      <w:pPr>
        <w:spacing w:line="240" w:lineRule="auto"/>
        <w:jc w:val="center"/>
        <w:rPr>
          <w:rFonts w:ascii="Times New Roman" w:eastAsia="Times New Roman" w:hAnsi="Times New Roman" w:cs="Times New Roman"/>
        </w:rPr>
      </w:pPr>
      <w:r>
        <w:rPr>
          <w:rFonts w:ascii="Times New Roman" w:eastAsia="Times New Roman" w:hAnsi="Times New Roman" w:cs="Times New Roman"/>
        </w:rPr>
        <w:t>-----------------------------------</w:t>
      </w:r>
    </w:p>
    <w:p w14:paraId="5341B2E5" w14:textId="77777777" w:rsidR="0030333D" w:rsidRDefault="00000000">
      <w:pPr>
        <w:spacing w:line="480" w:lineRule="auto"/>
        <w:ind w:firstLine="720"/>
        <w:jc w:val="both"/>
        <w:rPr>
          <w:rFonts w:ascii="Times New Roman" w:eastAsia="Times New Roman" w:hAnsi="Times New Roman" w:cs="Times New Roman"/>
        </w:rPr>
      </w:pPr>
      <w:proofErr w:type="gramStart"/>
      <w:r>
        <w:rPr>
          <w:rFonts w:ascii="Times New Roman" w:eastAsia="Times New Roman" w:hAnsi="Times New Roman" w:cs="Times New Roman"/>
        </w:rPr>
        <w:t>With regard to</w:t>
      </w:r>
      <w:proofErr w:type="gramEnd"/>
      <w:r>
        <w:rPr>
          <w:rFonts w:ascii="Times New Roman" w:eastAsia="Times New Roman" w:hAnsi="Times New Roman" w:cs="Times New Roman"/>
        </w:rPr>
        <w:t xml:space="preserve"> the control variables, our analysis showed significant relationships that indicate systematic trends in SDG language alignment for certain industry groups. For example, firms in the Consumer Products group showed a clear tendency to incorporate more language related to SDG 2 (zero hunger) and SDG 6 (clean water &amp; sanitation) than other industry groups. This may result from several significant firms in the food and beverage industry in this group and their concern for food and clean water issues. Firms in the Energy-Utilities group showed a similarly clear tendency to incorporate more language related to SDG 7 (affordable &amp; clean energy) and SDG 12 (responsible consumption &amp; production) than other industry groups. These two SDGs feature indicators related to energy production and supply and energy efficiency, which would relate closely to the operations of firms in this group. Firms in the Communications-IT group showed a significant tendency to have higher incorporation of language related to SDG 5 (gender equity) and SDG 8 (decent work &amp; economic growth), as evidenced by significant negative coefficients for all the industry group dummy variables in these models (Communications-IT was the industry group omitted in the regressions). Additionally, we note that, for </w:t>
      </w:r>
      <w:proofErr w:type="gramStart"/>
      <w:r>
        <w:rPr>
          <w:rFonts w:ascii="Times New Roman" w:eastAsia="Times New Roman" w:hAnsi="Times New Roman" w:cs="Times New Roman"/>
        </w:rPr>
        <w:t>all of</w:t>
      </w:r>
      <w:proofErr w:type="gramEnd"/>
      <w:r>
        <w:rPr>
          <w:rFonts w:ascii="Times New Roman" w:eastAsia="Times New Roman" w:hAnsi="Times New Roman" w:cs="Times New Roman"/>
        </w:rPr>
        <w:t xml:space="preserve"> the SDGS except #s 2 (zero hunger), 13 (climate action) &amp; 15 (life on land), membership in the Finance-Real Estate was associated with significantly less incorporation of the relevant SDG language.</w:t>
      </w:r>
    </w:p>
    <w:p w14:paraId="1A78F04F" w14:textId="77777777" w:rsidR="0030333D" w:rsidRDefault="00000000">
      <w:pPr>
        <w:spacing w:line="480" w:lineRule="auto"/>
        <w:jc w:val="both"/>
        <w:rPr>
          <w:rFonts w:ascii="Times New Roman" w:eastAsia="Times New Roman" w:hAnsi="Times New Roman" w:cs="Times New Roman"/>
          <w:shd w:val="clear" w:color="auto" w:fill="FFF2CC"/>
        </w:rPr>
      </w:pPr>
      <w:r>
        <w:rPr>
          <w:rFonts w:ascii="Times New Roman" w:eastAsia="Times New Roman" w:hAnsi="Times New Roman" w:cs="Times New Roman"/>
        </w:rPr>
        <w:tab/>
        <w:t xml:space="preserve">Among the other control variables, there were few consistent trends in the relationships within firms' SDG language alignment. Firm size was positively related to alignment on SDG 3 (good health &amp; wellbeing) and SDG 4 (quality education). Financial performance had a mixed impact on SDG alignment, with ROE related positively with alignment on SDG 10 (reduced inequalities) and SDG 16 (peach, justice &amp; strong institutions) and negatively with SDG 7 (affordable &amp; clean energy) and SDG 12 (responsible consumption &amp; production). Interestingly, for SDG 7 (affordable &amp; clean energy) and SDG 10 (reduced inequalities), ROIC was also significantly related to SDG alignment but in the opposite direction to ROE. Lastly, among these top sustainability performers, only SDG 3 (good health &amp; wellbeing) experienced any </w:t>
      </w:r>
      <w:r>
        <w:rPr>
          <w:rFonts w:ascii="Times New Roman" w:eastAsia="Times New Roman" w:hAnsi="Times New Roman" w:cs="Times New Roman"/>
        </w:rPr>
        <w:lastRenderedPageBreak/>
        <w:t>significant variation with sustainability grade, with Silver-level companies scoring lower on language alignment than Bronze- or Gold-level firms.</w:t>
      </w:r>
    </w:p>
    <w:p w14:paraId="2CA7B681" w14:textId="77777777" w:rsidR="0030333D" w:rsidRDefault="0030333D">
      <w:pPr>
        <w:spacing w:line="480" w:lineRule="auto"/>
        <w:rPr>
          <w:rFonts w:ascii="Times New Roman" w:eastAsia="Times New Roman" w:hAnsi="Times New Roman" w:cs="Times New Roman"/>
          <w:b/>
        </w:rPr>
      </w:pPr>
    </w:p>
    <w:p w14:paraId="3911485B" w14:textId="77777777" w:rsidR="0030333D" w:rsidRDefault="00000000">
      <w:pPr>
        <w:spacing w:line="480" w:lineRule="auto"/>
        <w:rPr>
          <w:rFonts w:ascii="Times New Roman" w:eastAsia="Times New Roman" w:hAnsi="Times New Roman" w:cs="Times New Roman"/>
          <w:i/>
        </w:rPr>
      </w:pPr>
      <w:r>
        <w:rPr>
          <w:rFonts w:ascii="Times New Roman" w:eastAsia="Times New Roman" w:hAnsi="Times New Roman" w:cs="Times New Roman"/>
          <w:i/>
        </w:rPr>
        <w:t xml:space="preserve">Discussion </w:t>
      </w:r>
    </w:p>
    <w:p w14:paraId="6711AE90" w14:textId="77777777" w:rsidR="0030333D" w:rsidRDefault="00000000">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The SDGs represent an ambitious effort to create a common framework for addressing sustainable development. To help create broad-based relevance for these goals, the UN integrated perspectives from governments, individuals, firms, and other stakeholders in their development with the goal of ultimately increasing meaningful engagement (PwC, 2015). However, despite this effort, firms and countries still exhibit significant differences in engagement with (and progress towards) the SDGs. Through our analysis of sustainability reporting by large MNEs, we show a dramatic and systematic variation in alignment across both the </w:t>
      </w:r>
      <w:proofErr w:type="gramStart"/>
      <w:r>
        <w:rPr>
          <w:rFonts w:ascii="Times New Roman" w:eastAsia="Times New Roman" w:hAnsi="Times New Roman" w:cs="Times New Roman"/>
        </w:rPr>
        <w:t>SDGs as a whole, and</w:t>
      </w:r>
      <w:proofErr w:type="gramEnd"/>
      <w:r>
        <w:rPr>
          <w:rFonts w:ascii="Times New Roman" w:eastAsia="Times New Roman" w:hAnsi="Times New Roman" w:cs="Times New Roman"/>
        </w:rPr>
        <w:t xml:space="preserve"> within many of the 17 individual goals. </w:t>
      </w:r>
    </w:p>
    <w:p w14:paraId="2C62AC8C" w14:textId="77777777" w:rsidR="0030333D" w:rsidRDefault="00000000">
      <w:pPr>
        <w:spacing w:line="480" w:lineRule="auto"/>
        <w:ind w:firstLine="720"/>
        <w:jc w:val="both"/>
      </w:pPr>
      <w:r>
        <w:rPr>
          <w:rFonts w:ascii="Times New Roman" w:eastAsia="Times New Roman" w:hAnsi="Times New Roman" w:cs="Times New Roman"/>
        </w:rPr>
        <w:t xml:space="preserve">Our results are especially intriguing when considering that our sample is not composed of firms with strong and weak sustainability profiles (which could explain these differences) but of an intentionally selected group of firms at the top of the S&amp;P sustainability index. In other words, even among MNEs that are widely considered to be quite concerned with sustainability, there are differing patterns of engagement with specific SDGs, which presents a challenge to the UN’s goal of giving equal importance to </w:t>
      </w:r>
      <w:r>
        <w:rPr>
          <w:rFonts w:ascii="Times New Roman" w:eastAsia="Times New Roman" w:hAnsi="Times New Roman" w:cs="Times New Roman"/>
          <w:i/>
        </w:rPr>
        <w:t>all 17</w:t>
      </w:r>
      <w:r>
        <w:rPr>
          <w:rFonts w:ascii="Times New Roman" w:eastAsia="Times New Roman" w:hAnsi="Times New Roman" w:cs="Times New Roman"/>
        </w:rPr>
        <w:t xml:space="preserve"> SDGs (GRI, UNGC, &amp; WBCSD, 2015). Our analysis shows that SDG engagement is not a homogeneous concept despite the unifying vision of the framework. Instead, engagement varies considerably by goal, showing that individual goals (and perhaps clusters of related goals) merit separate analyses to understand the factors that support or inhibit firms’ engagement. While previous works have found value in considering sustainability as a homogenous concept (e.g., Leyva-de la Hiz et al., 2019), our empirical approach has allowed us to go one level deeper to provide a more nuanced study of each of the SDGs and reveal the more complex picture. </w:t>
      </w:r>
    </w:p>
    <w:p w14:paraId="60822F5B"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Beyond empirically demonstrating these complex patterns of engagement, our results contribute to the understanding of the SDGs by showing how home-country institutional setting affects MNEs' engagement with the SDGs. Specifically, our analysis generally confirms that MNEs from home countries </w:t>
      </w:r>
      <w:r>
        <w:rPr>
          <w:rFonts w:ascii="Times New Roman" w:eastAsia="Times New Roman" w:hAnsi="Times New Roman" w:cs="Times New Roman"/>
        </w:rPr>
        <w:lastRenderedPageBreak/>
        <w:t xml:space="preserve">with relatively weak SDG profiles show higher engagement with the SDGs as captured in their sustainability reporting, thus supporting the </w:t>
      </w:r>
      <w:r>
        <w:rPr>
          <w:rFonts w:ascii="Times New Roman" w:eastAsia="Times New Roman" w:hAnsi="Times New Roman" w:cs="Times New Roman"/>
          <w:i/>
        </w:rPr>
        <w:t>liability of origin</w:t>
      </w:r>
      <w:r>
        <w:rPr>
          <w:rFonts w:ascii="Times New Roman" w:eastAsia="Times New Roman" w:hAnsi="Times New Roman" w:cs="Times New Roman"/>
        </w:rPr>
        <w:t xml:space="preserve"> pattern (Witt &amp; Lewin, 2007). That is, MNEs coming from countries with lower SDG progress try to improve their international reputation by placing more reporting emphasis on the areas of home-country sustainable development weakness. </w:t>
      </w:r>
    </w:p>
    <w:p w14:paraId="7D5F8E3F"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Although these results are in line with previous studies that highlighted the importance of the home-country institutional influence on MNEs (e.g., Leyva-de la Hiz et al., 2019; Marano et al., 2017), our analysis differs from previous works in that we explicitly show that this </w:t>
      </w:r>
      <w:r>
        <w:rPr>
          <w:rFonts w:ascii="Times New Roman" w:eastAsia="Times New Roman" w:hAnsi="Times New Roman" w:cs="Times New Roman"/>
          <w:i/>
        </w:rPr>
        <w:t>liability or origin</w:t>
      </w:r>
      <w:r>
        <w:rPr>
          <w:rFonts w:ascii="Times New Roman" w:eastAsia="Times New Roman" w:hAnsi="Times New Roman" w:cs="Times New Roman"/>
        </w:rPr>
        <w:t xml:space="preserve"> effect is not homogenous across the 17 SDGs, but most prevalent among the goals that traditionally have been seen as the domain of the public sector. For the goal that would seem to be most directly in the purview of the corporate sector, namely SDG 12 (sustainable consumption &amp; production), the reverse effect of </w:t>
      </w:r>
      <w:r>
        <w:rPr>
          <w:rFonts w:ascii="Times New Roman" w:eastAsia="Times New Roman" w:hAnsi="Times New Roman" w:cs="Times New Roman"/>
          <w:i/>
        </w:rPr>
        <w:t>mimetic isomorphism</w:t>
      </w:r>
      <w:r>
        <w:rPr>
          <w:rFonts w:ascii="Times New Roman" w:eastAsia="Times New Roman" w:hAnsi="Times New Roman" w:cs="Times New Roman"/>
        </w:rPr>
        <w:t xml:space="preserve"> seems to prevail.</w:t>
      </w:r>
    </w:p>
    <w:p w14:paraId="55E0FF12" w14:textId="77777777" w:rsidR="0030333D" w:rsidRDefault="00000000">
      <w:pPr>
        <w:spacing w:line="480" w:lineRule="auto"/>
        <w:ind w:firstLine="720"/>
        <w:jc w:val="both"/>
        <w:rPr>
          <w:rFonts w:ascii="Times New Roman" w:eastAsia="Times New Roman" w:hAnsi="Times New Roman" w:cs="Times New Roman"/>
        </w:rPr>
      </w:pPr>
      <w:bookmarkStart w:id="0" w:name="_heading=h.gjdgxs" w:colFirst="0" w:colLast="0"/>
      <w:bookmarkEnd w:id="0"/>
      <w:r>
        <w:rPr>
          <w:rFonts w:ascii="Times New Roman" w:eastAsia="Times New Roman" w:hAnsi="Times New Roman" w:cs="Times New Roman"/>
        </w:rPr>
        <w:t xml:space="preserve">Our study looked beyond the impact of the home-country SDG performance on SDG engagement by leveraging an </w:t>
      </w:r>
      <w:r>
        <w:rPr>
          <w:rFonts w:ascii="Times New Roman" w:eastAsia="Times New Roman" w:hAnsi="Times New Roman" w:cs="Times New Roman"/>
          <w:i/>
        </w:rPr>
        <w:t>administrative</w:t>
      </w:r>
      <w:r>
        <w:rPr>
          <w:rFonts w:ascii="Times New Roman" w:eastAsia="Times New Roman" w:hAnsi="Times New Roman" w:cs="Times New Roman"/>
        </w:rPr>
        <w:t xml:space="preserve"> perspective to group countries among similar cultural, historical, and legal traditions (Berry et al., 2010; van </w:t>
      </w:r>
      <w:proofErr w:type="spellStart"/>
      <w:r>
        <w:rPr>
          <w:rFonts w:ascii="Times New Roman" w:eastAsia="Times New Roman" w:hAnsi="Times New Roman" w:cs="Times New Roman"/>
        </w:rPr>
        <w:t>Tulder</w:t>
      </w:r>
      <w:proofErr w:type="spellEnd"/>
      <w:r>
        <w:rPr>
          <w:rFonts w:ascii="Times New Roman" w:eastAsia="Times New Roman" w:hAnsi="Times New Roman" w:cs="Times New Roman"/>
        </w:rPr>
        <w:t xml:space="preserve"> and van der Zwart, 2006; Ghemawat, 2001; </w:t>
      </w:r>
      <w:proofErr w:type="spellStart"/>
      <w:r>
        <w:rPr>
          <w:rFonts w:ascii="Times New Roman" w:eastAsia="Times New Roman" w:hAnsi="Times New Roman" w:cs="Times New Roman"/>
        </w:rPr>
        <w:t>Henisz</w:t>
      </w:r>
      <w:proofErr w:type="spellEnd"/>
      <w:r>
        <w:rPr>
          <w:rFonts w:ascii="Times New Roman" w:eastAsia="Times New Roman" w:hAnsi="Times New Roman" w:cs="Times New Roman"/>
        </w:rPr>
        <w:t xml:space="preserve">, 2000; La Porta et al., 1998), revealing the further impact of geo-institutional context. For instance, we see no overlap in the SDGs that are given greater engagement by firms operating from the Anglo-Saxon and Continental European contexts. Firms operating from the Asia-Pacific context did not exhibit significantly greater engagement than other firms on any of the SDGs but showed significantly lower engagement on a group of five SDGs. While the significance of the groupings of SDGs here is not readily apparent, the need to further explore this nuance is clear. Furthermore, in addition to the direct impact of this geo-institutional context, results of our post hoc analysis of the separate country groups also suggest an indirect impact on the </w:t>
      </w:r>
      <w:r>
        <w:rPr>
          <w:rFonts w:ascii="Times New Roman" w:eastAsia="Times New Roman" w:hAnsi="Times New Roman" w:cs="Times New Roman"/>
          <w:i/>
        </w:rPr>
        <w:t>liability of origin</w:t>
      </w:r>
      <w:r>
        <w:rPr>
          <w:rFonts w:ascii="Times New Roman" w:eastAsia="Times New Roman" w:hAnsi="Times New Roman" w:cs="Times New Roman"/>
        </w:rPr>
        <w:t xml:space="preserve"> effect that we observed, preserving it for certain SDGs while negating it or even reversing it for others to show </w:t>
      </w:r>
      <w:r>
        <w:rPr>
          <w:rFonts w:ascii="Times New Roman" w:eastAsia="Times New Roman" w:hAnsi="Times New Roman" w:cs="Times New Roman"/>
          <w:i/>
        </w:rPr>
        <w:t>mimetic isomorphism</w:t>
      </w:r>
      <w:r>
        <w:rPr>
          <w:rFonts w:ascii="Times New Roman" w:eastAsia="Times New Roman" w:hAnsi="Times New Roman" w:cs="Times New Roman"/>
        </w:rPr>
        <w:t xml:space="preserve">. </w:t>
      </w:r>
    </w:p>
    <w:p w14:paraId="33A63CDE"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These results invite future studies in two intriguing areas. The first, furthering inquiry into the institutional context of firms, might explore the underlying geo-institutional factors (culture, legal systems, etc.) that result in the different degrees of engagement with the individual SDGs. This would extend the </w:t>
      </w:r>
      <w:r>
        <w:rPr>
          <w:rFonts w:ascii="Times New Roman" w:eastAsia="Times New Roman" w:hAnsi="Times New Roman" w:cs="Times New Roman"/>
        </w:rPr>
        <w:lastRenderedPageBreak/>
        <w:t xml:space="preserve">idea of CSR regimes proposed by van </w:t>
      </w:r>
      <w:proofErr w:type="spellStart"/>
      <w:r>
        <w:rPr>
          <w:rFonts w:ascii="Times New Roman" w:eastAsia="Times New Roman" w:hAnsi="Times New Roman" w:cs="Times New Roman"/>
        </w:rPr>
        <w:t>Tulder</w:t>
      </w:r>
      <w:proofErr w:type="spellEnd"/>
      <w:r>
        <w:rPr>
          <w:rFonts w:ascii="Times New Roman" w:eastAsia="Times New Roman" w:hAnsi="Times New Roman" w:cs="Times New Roman"/>
        </w:rPr>
        <w:t xml:space="preserve"> and van der Zwart (2006) with a focus on SDG engagement. The second line of inquiry, emerging from a development policy perspective, might explore the interlinkages among the SDGs themselves, exploring the presence and nature of alignment or misalignment of societal (country-level) progress among groups of individual SDGs. In </w:t>
      </w:r>
      <w:proofErr w:type="gramStart"/>
      <w:r>
        <w:rPr>
          <w:rFonts w:ascii="Times New Roman" w:eastAsia="Times New Roman" w:hAnsi="Times New Roman" w:cs="Times New Roman"/>
        </w:rPr>
        <w:t>both of these</w:t>
      </w:r>
      <w:proofErr w:type="gramEnd"/>
      <w:r>
        <w:rPr>
          <w:rFonts w:ascii="Times New Roman" w:eastAsia="Times New Roman" w:hAnsi="Times New Roman" w:cs="Times New Roman"/>
        </w:rPr>
        <w:t xml:space="preserve"> arenas, future studies could take our analyses as a baseline for further enriching the understanding of the relationship between MNE engagement and SDG progress.</w:t>
      </w:r>
    </w:p>
    <w:p w14:paraId="0B79D6A3" w14:textId="77777777" w:rsidR="0030333D" w:rsidRDefault="00000000">
      <w:pPr>
        <w:spacing w:line="480" w:lineRule="auto"/>
        <w:ind w:firstLine="720"/>
        <w:jc w:val="both"/>
        <w:rPr>
          <w:rFonts w:ascii="Times New Roman" w:eastAsia="Times New Roman" w:hAnsi="Times New Roman" w:cs="Times New Roman"/>
        </w:rPr>
      </w:pPr>
      <w:r>
        <w:t xml:space="preserve">   </w:t>
      </w:r>
    </w:p>
    <w:p w14:paraId="5C2BD15A" w14:textId="77777777" w:rsidR="0030333D" w:rsidRDefault="00000000">
      <w:pPr>
        <w:spacing w:line="480" w:lineRule="auto"/>
        <w:jc w:val="both"/>
        <w:rPr>
          <w:rFonts w:ascii="Times New Roman" w:eastAsia="Times New Roman" w:hAnsi="Times New Roman" w:cs="Times New Roman"/>
          <w:b/>
        </w:rPr>
      </w:pPr>
      <w:r>
        <w:rPr>
          <w:rFonts w:ascii="Times New Roman" w:eastAsia="Times New Roman" w:hAnsi="Times New Roman" w:cs="Times New Roman"/>
          <w:b/>
        </w:rPr>
        <w:t>Limitations</w:t>
      </w:r>
    </w:p>
    <w:p w14:paraId="180B54FF" w14:textId="77777777" w:rsidR="0030333D" w:rsidRDefault="00000000">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The complex nature of the SDGs and our </w:t>
      </w:r>
      <w:proofErr w:type="gramStart"/>
      <w:r>
        <w:rPr>
          <w:rFonts w:ascii="Times New Roman" w:eastAsia="Times New Roman" w:hAnsi="Times New Roman" w:cs="Times New Roman"/>
        </w:rPr>
        <w:t>particular research</w:t>
      </w:r>
      <w:proofErr w:type="gramEnd"/>
      <w:r>
        <w:rPr>
          <w:rFonts w:ascii="Times New Roman" w:eastAsia="Times New Roman" w:hAnsi="Times New Roman" w:cs="Times New Roman"/>
        </w:rPr>
        <w:t xml:space="preserve"> design both present limitations to the generalizability of our findings. First, the SDGs, by design, do not focus on a single outcome measure such as profitability, carbon intensity, or patent counts against which we can test our theorizing. Furthermore, performance on the 169 targets that help to operationalize the 17 SDGs is not tracked and validated in the same way as financial data, making the degree of progress both more difficult to observe and less certain to believe (</w:t>
      </w:r>
      <w:proofErr w:type="spellStart"/>
      <w:r>
        <w:rPr>
          <w:rFonts w:ascii="Times New Roman" w:eastAsia="Times New Roman" w:hAnsi="Times New Roman" w:cs="Times New Roman"/>
        </w:rPr>
        <w:t>Boiral</w:t>
      </w:r>
      <w:proofErr w:type="spellEnd"/>
      <w:r>
        <w:rPr>
          <w:rFonts w:ascii="Times New Roman" w:eastAsia="Times New Roman" w:hAnsi="Times New Roman" w:cs="Times New Roman"/>
        </w:rPr>
        <w:t xml:space="preserve">, 2013; </w:t>
      </w:r>
      <w:proofErr w:type="spellStart"/>
      <w:r>
        <w:rPr>
          <w:rFonts w:ascii="Times New Roman" w:eastAsia="Times New Roman" w:hAnsi="Times New Roman" w:cs="Times New Roman"/>
        </w:rPr>
        <w:t>Boiral</w:t>
      </w:r>
      <w:proofErr w:type="spellEnd"/>
      <w:r>
        <w:rPr>
          <w:rFonts w:ascii="Times New Roman" w:eastAsia="Times New Roman" w:hAnsi="Times New Roman" w:cs="Times New Roman"/>
        </w:rPr>
        <w:t xml:space="preserve"> &amp; Heras-</w:t>
      </w:r>
      <w:proofErr w:type="spellStart"/>
      <w:r>
        <w:rPr>
          <w:rFonts w:ascii="Times New Roman" w:eastAsia="Times New Roman" w:hAnsi="Times New Roman" w:cs="Times New Roman"/>
        </w:rPr>
        <w:t>Saizarbitoria</w:t>
      </w:r>
      <w:proofErr w:type="spellEnd"/>
      <w:r>
        <w:rPr>
          <w:rFonts w:ascii="Times New Roman" w:eastAsia="Times New Roman" w:hAnsi="Times New Roman" w:cs="Times New Roman"/>
        </w:rPr>
        <w:t>, 2020). As such, we have relied on public reporting as our primary window on MNE’s SDG engagement. Although earlier we have argued that our selection of firms comes from reputable third-party data sources whose methodology goes beyond self-reporting, we cannot totally discount the possibility that these firms are simply better at greenwashing than their rivals. Additionally, our analysis of the SDGs shares the limitations of much institutional-oriented work in that we can only approximate mimetic isomorphism and liability of origin with our measures.</w:t>
      </w:r>
    </w:p>
    <w:p w14:paraId="05C87250" w14:textId="77777777" w:rsidR="0030333D" w:rsidRDefault="00000000">
      <w:pPr>
        <w:spacing w:line="480" w:lineRule="auto"/>
        <w:jc w:val="both"/>
        <w:rPr>
          <w:rFonts w:ascii="Times New Roman" w:eastAsia="Times New Roman" w:hAnsi="Times New Roman" w:cs="Times New Roman"/>
        </w:rPr>
      </w:pPr>
      <w:r>
        <w:rPr>
          <w:rFonts w:ascii="Times New Roman" w:eastAsia="Times New Roman" w:hAnsi="Times New Roman" w:cs="Times New Roman"/>
          <w:b/>
        </w:rPr>
        <w:tab/>
      </w:r>
      <w:r>
        <w:rPr>
          <w:rFonts w:ascii="Times New Roman" w:eastAsia="Times New Roman" w:hAnsi="Times New Roman" w:cs="Times New Roman"/>
        </w:rPr>
        <w:t xml:space="preserve">Beyond the limits inherent to research on the SDGs from an institutional perspective, our </w:t>
      </w:r>
      <w:proofErr w:type="gramStart"/>
      <w:r>
        <w:rPr>
          <w:rFonts w:ascii="Times New Roman" w:eastAsia="Times New Roman" w:hAnsi="Times New Roman" w:cs="Times New Roman"/>
        </w:rPr>
        <w:t>particular approach</w:t>
      </w:r>
      <w:proofErr w:type="gramEnd"/>
      <w:r>
        <w:rPr>
          <w:rFonts w:ascii="Times New Roman" w:eastAsia="Times New Roman" w:hAnsi="Times New Roman" w:cs="Times New Roman"/>
        </w:rPr>
        <w:t xml:space="preserve"> to addressing our research question also features a number of specific limitations. First, while our interest is in SDG engagement, and we suggest that this relatively broad term is useful in capturing the myriad ways MNEs may interact with the SDGs, we ultimately chose to operationalize this engagement through reporting. Given the global scale of our sample and evidence that reporting is rarely fully divorced from reality, even if it is not a fully accurate mirror either, our central data source can offer some insight </w:t>
      </w:r>
      <w:r>
        <w:rPr>
          <w:rFonts w:ascii="Times New Roman" w:eastAsia="Times New Roman" w:hAnsi="Times New Roman" w:cs="Times New Roman"/>
        </w:rPr>
        <w:lastRenderedPageBreak/>
        <w:t>into how MNEs are engaging (or not) with the SDGs in general and specific SDGs in particular</w:t>
      </w:r>
      <w:r>
        <w:rPr>
          <w:rFonts w:ascii="Times New Roman" w:eastAsia="Times New Roman" w:hAnsi="Times New Roman" w:cs="Times New Roman"/>
          <w:vertAlign w:val="superscript"/>
        </w:rPr>
        <w:footnoteReference w:id="7"/>
      </w:r>
      <w:r>
        <w:rPr>
          <w:rFonts w:ascii="Times New Roman" w:eastAsia="Times New Roman" w:hAnsi="Times New Roman" w:cs="Times New Roman"/>
        </w:rPr>
        <w:t xml:space="preserve">. Additionally, while reporting is currently a voluntary practice, it is becoming compulsory in some contexts. For example, the European Union’s new Corporate Sustainability Reporting Directive (CSRD) comes into force in 2024 and obliges listed and large corporations to disclose their social and environmental impact (EU, 2022). Despite the importance of reporting, to help more deeply explore the concept of SDG engagement, we encourage future research in this area using alternative research methods such as surveys and ethnography that can help shed light on company-level processes related to SDG engagement.  </w:t>
      </w:r>
    </w:p>
    <w:p w14:paraId="75D618F6"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A related limitation of this study is that we focused on language alignment and not on more concrete outcomes of SDG engagement. We chose this partly for practical reasons of data availability at scale but also because the SDGs are both a </w:t>
      </w:r>
      <w:proofErr w:type="gramStart"/>
      <w:r>
        <w:rPr>
          <w:rFonts w:ascii="Times New Roman" w:eastAsia="Times New Roman" w:hAnsi="Times New Roman" w:cs="Times New Roman"/>
        </w:rPr>
        <w:t>fairly new</w:t>
      </w:r>
      <w:proofErr w:type="gramEnd"/>
      <w:r>
        <w:rPr>
          <w:rFonts w:ascii="Times New Roman" w:eastAsia="Times New Roman" w:hAnsi="Times New Roman" w:cs="Times New Roman"/>
        </w:rPr>
        <w:t xml:space="preserve"> framework and unlike more prescribed standards that MNEs may be experienced with (e.g. ISO 14001). As a result, many MNEs are likely still grappling with if and how to engage with the SDGs in general and with specific goals that may extend well beyond the MNEs’ core resources and capabilities. As this subject continues to evolve with more MNEs putting their SDG-inspired plans into action, we anticipate outcome-related data will become more widely available. Another limitation related to our empirical approach is the fact that our concept of language alignment is based on the use of terminology consistent with that of the individual SDGs but does not </w:t>
      </w:r>
      <w:proofErr w:type="gramStart"/>
      <w:r>
        <w:rPr>
          <w:rFonts w:ascii="Times New Roman" w:eastAsia="Times New Roman" w:hAnsi="Times New Roman" w:cs="Times New Roman"/>
        </w:rPr>
        <w:t>take into account</w:t>
      </w:r>
      <w:proofErr w:type="gramEnd"/>
      <w:r>
        <w:rPr>
          <w:rFonts w:ascii="Times New Roman" w:eastAsia="Times New Roman" w:hAnsi="Times New Roman" w:cs="Times New Roman"/>
        </w:rPr>
        <w:t xml:space="preserve"> whether that terminology is used in a positive or negative context (i.e., the sentiment associated with the terms)</w:t>
      </w:r>
      <w:r>
        <w:rPr>
          <w:rFonts w:ascii="Times New Roman" w:eastAsia="Times New Roman" w:hAnsi="Times New Roman" w:cs="Times New Roman"/>
          <w:vertAlign w:val="superscript"/>
        </w:rPr>
        <w:footnoteReference w:id="8"/>
      </w:r>
      <w:r>
        <w:rPr>
          <w:rFonts w:ascii="Times New Roman" w:eastAsia="Times New Roman" w:hAnsi="Times New Roman" w:cs="Times New Roman"/>
        </w:rPr>
        <w:t xml:space="preserve">. It is conceivable that a firm could report on activity or intentions that are contrary to the intent of the SDGs (such as the intentional destruction of wildlife habitat), in which case our methodology would capture that language as being in alignment with SDG 15 (life on land). For the purposes of our study, we still consider this comment to reflect “engagement” in that the firms recognized this topic as sufficiently material and relevant to warrant mention in their report. However, recent studies have begun to investigate the sentiments attached to sustainability-related terms in text analysis (e.g. Na et al., 2020; El Barachi et al., 2021). In </w:t>
      </w:r>
      <w:r>
        <w:rPr>
          <w:rFonts w:ascii="Times New Roman" w:eastAsia="Times New Roman" w:hAnsi="Times New Roman" w:cs="Times New Roman"/>
        </w:rPr>
        <w:lastRenderedPageBreak/>
        <w:t xml:space="preserve">future studies, the ability to distinguish between positive and negative sentiments attached to terms could augment our approach to contribute further insight into the relationships between institutional factors and sustainability performance in support of the SDGs (which was not within the scope of this current project). </w:t>
      </w:r>
    </w:p>
    <w:p w14:paraId="31889486"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Another limitation that opens future research avenues is that we focus on the MNEs’ home country institutional profile and its relationship with sustainability reporting, but we do not analyze which of the three major internationalization strategies (local, global, and transnational) MNEs carry out (Barin Cruz &amp; </w:t>
      </w:r>
      <w:proofErr w:type="spellStart"/>
      <w:r>
        <w:rPr>
          <w:rFonts w:ascii="Times New Roman" w:eastAsia="Times New Roman" w:hAnsi="Times New Roman" w:cs="Times New Roman"/>
        </w:rPr>
        <w:t>Boehe</w:t>
      </w:r>
      <w:proofErr w:type="spellEnd"/>
      <w:r>
        <w:rPr>
          <w:rFonts w:ascii="Times New Roman" w:eastAsia="Times New Roman" w:hAnsi="Times New Roman" w:cs="Times New Roman"/>
        </w:rPr>
        <w:t xml:space="preserve">, 2010; Husted &amp; Allen, 2006). While our data on sustainability reporting does not allow us to conduct this analysis, this topic opens very intriguing research questions. The SDGs framework is likely to foment different responses from MNEs managing tensions between local responsiveness and global integration (Bartlett and Ghoshal, 1988; Husted and Allen, 2006). For instance, future studies could look at how different CSR strategies affect the balance of </w:t>
      </w:r>
      <w:proofErr w:type="spellStart"/>
      <w:r>
        <w:rPr>
          <w:rFonts w:ascii="Times New Roman" w:eastAsia="Times New Roman" w:hAnsi="Times New Roman" w:cs="Times New Roman"/>
        </w:rPr>
        <w:t>mimetism</w:t>
      </w:r>
      <w:proofErr w:type="spellEnd"/>
      <w:r>
        <w:rPr>
          <w:rFonts w:ascii="Times New Roman" w:eastAsia="Times New Roman" w:hAnsi="Times New Roman" w:cs="Times New Roman"/>
        </w:rPr>
        <w:t xml:space="preserve"> and liability of origin. </w:t>
      </w:r>
    </w:p>
    <w:p w14:paraId="5FB69598" w14:textId="77777777" w:rsidR="0030333D" w:rsidRDefault="00000000">
      <w:pPr>
        <w:spacing w:line="480" w:lineRule="auto"/>
        <w:ind w:firstLine="720"/>
        <w:jc w:val="both"/>
      </w:pPr>
      <w:r>
        <w:rPr>
          <w:rFonts w:ascii="Times New Roman" w:eastAsia="Times New Roman" w:hAnsi="Times New Roman" w:cs="Times New Roman"/>
        </w:rPr>
        <w:t xml:space="preserve">Beyond the limitations currently inherent to the SDGs as a topic and our </w:t>
      </w:r>
      <w:proofErr w:type="gramStart"/>
      <w:r>
        <w:rPr>
          <w:rFonts w:ascii="Times New Roman" w:eastAsia="Times New Roman" w:hAnsi="Times New Roman" w:cs="Times New Roman"/>
        </w:rPr>
        <w:t>particular empirical</w:t>
      </w:r>
      <w:proofErr w:type="gramEnd"/>
      <w:r>
        <w:rPr>
          <w:rFonts w:ascii="Times New Roman" w:eastAsia="Times New Roman" w:hAnsi="Times New Roman" w:cs="Times New Roman"/>
        </w:rPr>
        <w:t xml:space="preserve"> approach, several other limitations of this study highlight areas of future research that do not hinge on resolving the issues of data availability or reducing reporting-outcomes distortions. Specifically, although we focus on leading companies, as highlighted by the UN (GRI, UNGC, &amp; WBCSD, 2015), our results may not be fully generalizable to the full spectrum of MNEs. Furthermore, beyond MNEs, we consider it important that future studies consider small &amp; medium-sized enterprises (SMEs) that operate in an international context. SMEs play a significant role in the global economy, representing </w:t>
      </w:r>
      <w:proofErr w:type="gramStart"/>
      <w:r>
        <w:rPr>
          <w:rFonts w:ascii="Times New Roman" w:eastAsia="Times New Roman" w:hAnsi="Times New Roman" w:cs="Times New Roman"/>
        </w:rPr>
        <w:t>the vast majority of</w:t>
      </w:r>
      <w:proofErr w:type="gramEnd"/>
      <w:r>
        <w:rPr>
          <w:rFonts w:ascii="Times New Roman" w:eastAsia="Times New Roman" w:hAnsi="Times New Roman" w:cs="Times New Roman"/>
        </w:rPr>
        <w:t xml:space="preserve"> business entities and providing the majority of employment worldwide, contributing significantly to the national income in emerging and developing economies. Therefore, understanding their engagement with the SDGs helps assess their potential impact on sustainable development, job creation, and economic growth. SMEs are also known for their agility and capacity for innovation, and studying their engagement with the SDGs can inspire sustainable practices, foster inclusivity, and promote social impact within local communities (Smith et al., 2022). SMEs may face less scrutiny from outside stakeholders than MNEs (due to the perceived smaller impact of their supply chains and smaller customer base) and thus may differ from MNEs in their responses to institutional pressures such as mimetic isomorphism</w:t>
      </w:r>
      <w:r>
        <w:t xml:space="preserve"> </w:t>
      </w:r>
      <w:r>
        <w:rPr>
          <w:rFonts w:ascii="Times New Roman" w:eastAsia="Times New Roman" w:hAnsi="Times New Roman" w:cs="Times New Roman"/>
        </w:rPr>
        <w:t xml:space="preserve">and liability of origin. A </w:t>
      </w:r>
      <w:r>
        <w:rPr>
          <w:rFonts w:ascii="Times New Roman" w:eastAsia="Times New Roman" w:hAnsi="Times New Roman" w:cs="Times New Roman"/>
        </w:rPr>
        <w:lastRenderedPageBreak/>
        <w:t>future study on SMEs and MNEs could potentially investigate the extent and nature of these differences. Additionally, as part of global supply chains, SMEs'</w:t>
      </w:r>
      <w:r>
        <w:t xml:space="preserve"> </w:t>
      </w:r>
      <w:r>
        <w:rPr>
          <w:rFonts w:ascii="Times New Roman" w:eastAsia="Times New Roman" w:hAnsi="Times New Roman" w:cs="Times New Roman"/>
        </w:rPr>
        <w:t xml:space="preserve">engagement with the SDGs could influence larger companies' sustainability practices, extending positive impacts throughout the supply chain (Van </w:t>
      </w:r>
      <w:proofErr w:type="spellStart"/>
      <w:r>
        <w:rPr>
          <w:rFonts w:ascii="Times New Roman" w:eastAsia="Times New Roman" w:hAnsi="Times New Roman" w:cs="Times New Roman"/>
        </w:rPr>
        <w:t>Tulder</w:t>
      </w:r>
      <w:proofErr w:type="spellEnd"/>
      <w:r>
        <w:rPr>
          <w:rFonts w:ascii="Times New Roman" w:eastAsia="Times New Roman" w:hAnsi="Times New Roman" w:cs="Times New Roman"/>
        </w:rPr>
        <w:t xml:space="preserve"> et al., 2021).</w:t>
      </w:r>
    </w:p>
    <w:p w14:paraId="7A95DBE8" w14:textId="77777777" w:rsidR="0030333D" w:rsidRDefault="0030333D">
      <w:pPr>
        <w:spacing w:line="480" w:lineRule="auto"/>
        <w:ind w:firstLine="720"/>
        <w:jc w:val="both"/>
        <w:rPr>
          <w:rFonts w:ascii="Times New Roman" w:eastAsia="Times New Roman" w:hAnsi="Times New Roman" w:cs="Times New Roman"/>
        </w:rPr>
      </w:pPr>
    </w:p>
    <w:p w14:paraId="62223E80" w14:textId="77777777" w:rsidR="0030333D" w:rsidRDefault="00000000">
      <w:pPr>
        <w:spacing w:line="480" w:lineRule="auto"/>
        <w:jc w:val="both"/>
        <w:rPr>
          <w:rFonts w:ascii="Times New Roman" w:eastAsia="Times New Roman" w:hAnsi="Times New Roman" w:cs="Times New Roman"/>
          <w:b/>
        </w:rPr>
      </w:pPr>
      <w:r>
        <w:rPr>
          <w:rFonts w:ascii="Times New Roman" w:eastAsia="Times New Roman" w:hAnsi="Times New Roman" w:cs="Times New Roman"/>
          <w:b/>
        </w:rPr>
        <w:t xml:space="preserve">Summary and Contributions </w:t>
      </w:r>
    </w:p>
    <w:p w14:paraId="56C4B201" w14:textId="77777777" w:rsidR="0030333D" w:rsidRDefault="00000000">
      <w:pPr>
        <w:spacing w:line="480" w:lineRule="auto"/>
        <w:jc w:val="both"/>
        <w:rPr>
          <w:rFonts w:ascii="Times New Roman" w:eastAsia="Times New Roman" w:hAnsi="Times New Roman" w:cs="Times New Roman"/>
        </w:rPr>
      </w:pPr>
      <w:r>
        <w:rPr>
          <w:rFonts w:ascii="Times New Roman" w:eastAsia="Times New Roman" w:hAnsi="Times New Roman" w:cs="Times New Roman"/>
        </w:rPr>
        <w:t>In summarizing the empirical findings of this study, we find mixed support for our six propositions. When considering the way in which MNE engagement with the overall language of the SDGs depends on their average home-country SDG score, we find that the evidence from our sample (as presented in Table 5) supports the liability of origin mechanism (Proposition 3) and fails to support the mechanism of mimetic isomorphism (Proposition 1). At the level of the individual SDGs, however, we find (as presented in Table 6) that the mimetic isomorphism mechanism (Proposition 2) is evident for only one of the SDGs - responsible consumption and production. On the contrary, we find evidence for the liability of origin mechanism (Proposition 4) in the following SDGs: no poverty, zero hunger, good health &amp; wellbeing, quality education, gender equality, clean water &amp; sanitation, sustainable cities &amp; communities, life on land, and peace, justice &amp; strong institutions. Neither mechanism was supported in the remaining SDGs. When separately considering each of our geo-institutional country groups (as presented in Table 7), we find support for Proposition 5, in that evidence for the observed liability of origin mechanism is not consistent across all three groups. Extending this analysis, once again, to the individual SDGs, we see (in Table 7 and illustrated in Figure 1) that Proposition 6 also finds support in the variation, from group to group, in the SDGs that exhibit either the mimetic isomorphism mechanism or the liability of origin mechanism.</w:t>
      </w:r>
    </w:p>
    <w:p w14:paraId="52EDB3B8"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Our work also presents several significant implications. From a theoretical point of view, our work contributes to institutional theory by illustrating how complex patterns of institutional pressures strongly affect companies' behavior (Buchanan &amp; Marques, 2018), despite the SDGs representing non-binding, voluntary objectives. This suggests companies are paying increased attention due to stakeholder pressures yet in potentially non-obvious ways. In addition to this, our work reinforces the relevance of the </w:t>
      </w:r>
      <w:r>
        <w:rPr>
          <w:rFonts w:ascii="Times New Roman" w:eastAsia="Times New Roman" w:hAnsi="Times New Roman" w:cs="Times New Roman"/>
          <w:i/>
        </w:rPr>
        <w:t xml:space="preserve">liability of </w:t>
      </w:r>
      <w:r>
        <w:rPr>
          <w:rFonts w:ascii="Times New Roman" w:eastAsia="Times New Roman" w:hAnsi="Times New Roman" w:cs="Times New Roman"/>
          <w:i/>
        </w:rPr>
        <w:lastRenderedPageBreak/>
        <w:t xml:space="preserve">origin </w:t>
      </w:r>
      <w:r>
        <w:rPr>
          <w:rFonts w:ascii="Times New Roman" w:eastAsia="Times New Roman" w:hAnsi="Times New Roman" w:cs="Times New Roman"/>
        </w:rPr>
        <w:t xml:space="preserve">concept (Cuervo-Cazurra et al., 2018; Marano et al., 2017) and the pressures of </w:t>
      </w:r>
      <w:r>
        <w:rPr>
          <w:rFonts w:ascii="Times New Roman" w:eastAsia="Times New Roman" w:hAnsi="Times New Roman" w:cs="Times New Roman"/>
          <w:i/>
        </w:rPr>
        <w:t>mimetic isomorphism</w:t>
      </w:r>
      <w:r>
        <w:rPr>
          <w:rFonts w:ascii="Times New Roman" w:eastAsia="Times New Roman" w:hAnsi="Times New Roman" w:cs="Times New Roman"/>
        </w:rPr>
        <w:t xml:space="preserve"> as applied to firms’ engagement with the SDGs. The differences in home-country progress on the SDGs appear to play a key role in MNEs' decisions about how to focus their sustainability engagement. As can be seen from our results, however, the relationships between firm SDG engagement, home-country SDG progress, and geo-institutional setting vary in a complex manner, indicating that organizational context indeed plays a major role in shaping the way companies view and report progress on the broad areas of sustainability that are reflected in the UN SDGs.</w:t>
      </w:r>
    </w:p>
    <w:p w14:paraId="04146E24" w14:textId="77777777" w:rsidR="0030333D" w:rsidRDefault="00000000">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The results of this and subsequent studies may also point towards some guidance for policymakers and managers alike. For instance, our work shows that instead of promoting a general approach to sustainable development, policymakers may want to promote public-private partnerships to tackle specific sustainable goals, based on a deeper understanding of where and why firms are </w:t>
      </w:r>
      <w:proofErr w:type="gramStart"/>
      <w:r>
        <w:rPr>
          <w:rFonts w:ascii="Times New Roman" w:eastAsia="Times New Roman" w:hAnsi="Times New Roman" w:cs="Times New Roman"/>
        </w:rPr>
        <w:t>more or less engaged</w:t>
      </w:r>
      <w:proofErr w:type="gramEnd"/>
      <w:r>
        <w:rPr>
          <w:rFonts w:ascii="Times New Roman" w:eastAsia="Times New Roman" w:hAnsi="Times New Roman" w:cs="Times New Roman"/>
        </w:rPr>
        <w:t>. Likewise, managers may want to strategically direct their attention to the goals where they are currently making limited progress but may fit with the firm's resources and capabilities or their broader CSR efforts. While some may criticize this as “cherry picking,” there may be opportunities for multiple firms to partner across industries (or geographies) to leverage their respective strengths and combine to engage with the SDGs in a more holistic way.</w:t>
      </w:r>
    </w:p>
    <w:p w14:paraId="1ED21BD2" w14:textId="77777777" w:rsidR="0030333D" w:rsidRDefault="00000000">
      <w:pPr>
        <w:spacing w:line="480" w:lineRule="auto"/>
        <w:jc w:val="both"/>
      </w:pPr>
      <w:r>
        <w:rPr>
          <w:rFonts w:ascii="Times New Roman" w:eastAsia="Times New Roman" w:hAnsi="Times New Roman" w:cs="Times New Roman"/>
        </w:rPr>
        <w:tab/>
        <w:t xml:space="preserve">The scale, scope, and complexity of the UN SDGs - 17 goals with 169 targets, designed to engage all public and private sector actors across the globe - is a clear mark of ambition but also offers a challenging theoretical and empirical puzzle for scholars. In this study, we explored one piece of this puzzle covering how MNE engagement with the topics of the SDGs is shaped by their home country’s institutional profiles. Echoing the SDGs themselves, our results uncovered nuanced patterns and potential tradeoffs, suggesting that although liability of origin appears to be an important force shaping MNEs’ overall SDG engagement, other institutional factors may be even more important at the individual goal level. Although these results do not provide a simple and straightforward picture of this important phenomenon, we believe they make a modest contribution to the multiplex grand challenge of sustainable development and the SDGs’ role in this effort.   </w:t>
      </w:r>
    </w:p>
    <w:p w14:paraId="7D81F85D" w14:textId="77777777" w:rsidR="0030333D" w:rsidRDefault="0030333D">
      <w:pPr>
        <w:rPr>
          <w:rFonts w:ascii="Times New Roman" w:eastAsia="Times New Roman" w:hAnsi="Times New Roman" w:cs="Times New Roman"/>
          <w:b/>
        </w:rPr>
      </w:pPr>
    </w:p>
    <w:p w14:paraId="7E220703" w14:textId="77777777" w:rsidR="0030333D" w:rsidRDefault="00000000">
      <w:pPr>
        <w:pBdr>
          <w:top w:val="nil"/>
          <w:left w:val="nil"/>
          <w:bottom w:val="nil"/>
          <w:right w:val="nil"/>
          <w:between w:val="nil"/>
        </w:pBdr>
        <w:spacing w:before="240" w:after="24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222222"/>
          <w:highlight w:val="white"/>
        </w:rPr>
        <w:t>References</w:t>
      </w:r>
    </w:p>
    <w:p w14:paraId="7A73E869" w14:textId="77777777" w:rsidR="0030333D" w:rsidRDefault="00000000">
      <w:pPr>
        <w:pBdr>
          <w:top w:val="nil"/>
          <w:left w:val="nil"/>
          <w:bottom w:val="nil"/>
          <w:right w:val="nil"/>
          <w:between w:val="nil"/>
        </w:pBdr>
        <w:spacing w:before="240" w:after="240" w:line="240" w:lineRule="auto"/>
        <w:ind w:left="450"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222222"/>
          <w:highlight w:val="white"/>
        </w:rPr>
        <w:t xml:space="preserve">Aguilera, R. V., Rupp, D. E., Williams, C. A., &amp; Ganapathi, J. (2007). Putting the S back in corporate social responsibility: A multi-level theory of social change in organizations. </w:t>
      </w:r>
      <w:r>
        <w:rPr>
          <w:rFonts w:ascii="Times New Roman" w:eastAsia="Times New Roman" w:hAnsi="Times New Roman" w:cs="Times New Roman"/>
          <w:i/>
          <w:color w:val="222222"/>
          <w:highlight w:val="white"/>
        </w:rPr>
        <w:t>Academy of Management Review</w:t>
      </w:r>
      <w:r>
        <w:rPr>
          <w:rFonts w:ascii="Times New Roman" w:eastAsia="Times New Roman" w:hAnsi="Times New Roman" w:cs="Times New Roman"/>
          <w:color w:val="222222"/>
          <w:highlight w:val="white"/>
        </w:rPr>
        <w:t xml:space="preserve">, </w:t>
      </w:r>
      <w:r>
        <w:rPr>
          <w:rFonts w:ascii="Times New Roman" w:eastAsia="Times New Roman" w:hAnsi="Times New Roman" w:cs="Times New Roman"/>
          <w:i/>
          <w:color w:val="222222"/>
          <w:highlight w:val="white"/>
        </w:rPr>
        <w:t>32</w:t>
      </w:r>
      <w:r>
        <w:rPr>
          <w:rFonts w:ascii="Times New Roman" w:eastAsia="Times New Roman" w:hAnsi="Times New Roman" w:cs="Times New Roman"/>
          <w:color w:val="222222"/>
          <w:highlight w:val="white"/>
        </w:rPr>
        <w:t>(3), 836-863.</w:t>
      </w:r>
    </w:p>
    <w:p w14:paraId="4BA7FAC1" w14:textId="77777777" w:rsidR="0030333D" w:rsidRDefault="00000000">
      <w:pPr>
        <w:pBdr>
          <w:top w:val="nil"/>
          <w:left w:val="nil"/>
          <w:bottom w:val="nil"/>
          <w:right w:val="nil"/>
          <w:between w:val="nil"/>
        </w:pBdr>
        <w:spacing w:before="240" w:after="240" w:line="240" w:lineRule="auto"/>
        <w:ind w:left="450"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Aguilera-</w:t>
      </w:r>
      <w:proofErr w:type="spellStart"/>
      <w:r>
        <w:rPr>
          <w:rFonts w:ascii="Times New Roman" w:eastAsia="Times New Roman" w:hAnsi="Times New Roman" w:cs="Times New Roman"/>
          <w:color w:val="000000"/>
        </w:rPr>
        <w:t>Caracuel</w:t>
      </w:r>
      <w:proofErr w:type="spellEnd"/>
      <w:r>
        <w:rPr>
          <w:rFonts w:ascii="Times New Roman" w:eastAsia="Times New Roman" w:hAnsi="Times New Roman" w:cs="Times New Roman"/>
          <w:color w:val="000000"/>
        </w:rPr>
        <w:t xml:space="preserve">, J., Aragón-Correa, J. A., Hurtado-Torres, N. E., &amp; Rugman, A. M. (2012). The Effects of Institutional Distance and Headquarters’ Financial Performance on the Generation of Environmental Standards in Multinational Companies. </w:t>
      </w:r>
      <w:r>
        <w:rPr>
          <w:rFonts w:ascii="Times New Roman" w:eastAsia="Times New Roman" w:hAnsi="Times New Roman" w:cs="Times New Roman"/>
          <w:i/>
          <w:color w:val="000000"/>
        </w:rPr>
        <w:t>Journal of Business Ethics</w:t>
      </w:r>
      <w:r>
        <w:rPr>
          <w:rFonts w:ascii="Times New Roman" w:eastAsia="Times New Roman" w:hAnsi="Times New Roman" w:cs="Times New Roman"/>
          <w:color w:val="000000"/>
        </w:rPr>
        <w:t>, 105(4), 461–474.</w:t>
      </w:r>
    </w:p>
    <w:p w14:paraId="064BACA3" w14:textId="77777777" w:rsidR="0030333D" w:rsidRDefault="00000000">
      <w:pPr>
        <w:pBdr>
          <w:top w:val="nil"/>
          <w:left w:val="nil"/>
          <w:bottom w:val="nil"/>
          <w:right w:val="nil"/>
          <w:between w:val="nil"/>
        </w:pBdr>
        <w:spacing w:before="240" w:after="240" w:line="240" w:lineRule="auto"/>
        <w:ind w:left="450"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222222"/>
          <w:highlight w:val="white"/>
        </w:rPr>
        <w:t xml:space="preserve">Alda, M. (2019). Corporate sustainability and institutional shareholders: The pressure of </w:t>
      </w:r>
      <w:proofErr w:type="gramStart"/>
      <w:r>
        <w:rPr>
          <w:rFonts w:ascii="Times New Roman" w:eastAsia="Times New Roman" w:hAnsi="Times New Roman" w:cs="Times New Roman"/>
          <w:color w:val="222222"/>
          <w:highlight w:val="white"/>
        </w:rPr>
        <w:t>social</w:t>
      </w:r>
      <w:proofErr w:type="gramEnd"/>
      <w:r>
        <w:rPr>
          <w:rFonts w:ascii="Times New Roman" w:eastAsia="Times New Roman" w:hAnsi="Times New Roman" w:cs="Times New Roman"/>
          <w:color w:val="222222"/>
          <w:highlight w:val="white"/>
        </w:rPr>
        <w:t xml:space="preserve"> responsible pension funds on environmental firm practices. </w:t>
      </w:r>
      <w:r>
        <w:rPr>
          <w:rFonts w:ascii="Times New Roman" w:eastAsia="Times New Roman" w:hAnsi="Times New Roman" w:cs="Times New Roman"/>
          <w:i/>
          <w:color w:val="222222"/>
        </w:rPr>
        <w:t>Business Strategy and the Environment</w:t>
      </w:r>
      <w:r>
        <w:rPr>
          <w:rFonts w:ascii="Times New Roman" w:eastAsia="Times New Roman" w:hAnsi="Times New Roman" w:cs="Times New Roman"/>
          <w:color w:val="222222"/>
          <w:highlight w:val="white"/>
        </w:rPr>
        <w:t>, </w:t>
      </w:r>
      <w:r>
        <w:rPr>
          <w:rFonts w:ascii="Times New Roman" w:eastAsia="Times New Roman" w:hAnsi="Times New Roman" w:cs="Times New Roman"/>
          <w:i/>
          <w:color w:val="222222"/>
        </w:rPr>
        <w:t>28</w:t>
      </w:r>
      <w:r>
        <w:rPr>
          <w:rFonts w:ascii="Times New Roman" w:eastAsia="Times New Roman" w:hAnsi="Times New Roman" w:cs="Times New Roman"/>
          <w:color w:val="222222"/>
          <w:highlight w:val="white"/>
        </w:rPr>
        <w:t>(6), 1060-1071.</w:t>
      </w:r>
    </w:p>
    <w:p w14:paraId="202A999F" w14:textId="77777777" w:rsidR="0030333D" w:rsidRDefault="00000000">
      <w:pPr>
        <w:pBdr>
          <w:top w:val="nil"/>
          <w:left w:val="nil"/>
          <w:bottom w:val="nil"/>
          <w:right w:val="nil"/>
          <w:between w:val="nil"/>
        </w:pBdr>
        <w:spacing w:before="240" w:after="240" w:line="240" w:lineRule="auto"/>
        <w:ind w:left="450"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222222"/>
          <w:highlight w:val="white"/>
        </w:rPr>
        <w:t>Amor-Esteban, V., Galindo-</w:t>
      </w:r>
      <w:proofErr w:type="spellStart"/>
      <w:r>
        <w:rPr>
          <w:rFonts w:ascii="Times New Roman" w:eastAsia="Times New Roman" w:hAnsi="Times New Roman" w:cs="Times New Roman"/>
          <w:color w:val="222222"/>
          <w:highlight w:val="white"/>
        </w:rPr>
        <w:t>Villardón</w:t>
      </w:r>
      <w:proofErr w:type="spellEnd"/>
      <w:r>
        <w:rPr>
          <w:rFonts w:ascii="Times New Roman" w:eastAsia="Times New Roman" w:hAnsi="Times New Roman" w:cs="Times New Roman"/>
          <w:color w:val="222222"/>
          <w:highlight w:val="white"/>
        </w:rPr>
        <w:t>, M. P., &amp; García-Sánchez, I. M. (2018). Industry mimetic isomorphism and sustainable development based on the X-STATIS and HJ-biplot methods. </w:t>
      </w:r>
      <w:r>
        <w:rPr>
          <w:rFonts w:ascii="Times New Roman" w:eastAsia="Times New Roman" w:hAnsi="Times New Roman" w:cs="Times New Roman"/>
          <w:i/>
          <w:color w:val="222222"/>
        </w:rPr>
        <w:t>Environmental Science and Pollution Research</w:t>
      </w:r>
      <w:r>
        <w:rPr>
          <w:rFonts w:ascii="Times New Roman" w:eastAsia="Times New Roman" w:hAnsi="Times New Roman" w:cs="Times New Roman"/>
          <w:color w:val="222222"/>
          <w:highlight w:val="white"/>
        </w:rPr>
        <w:t>, </w:t>
      </w:r>
      <w:r>
        <w:rPr>
          <w:rFonts w:ascii="Times New Roman" w:eastAsia="Times New Roman" w:hAnsi="Times New Roman" w:cs="Times New Roman"/>
          <w:i/>
          <w:color w:val="222222"/>
        </w:rPr>
        <w:t>25</w:t>
      </w:r>
      <w:r>
        <w:rPr>
          <w:rFonts w:ascii="Times New Roman" w:eastAsia="Times New Roman" w:hAnsi="Times New Roman" w:cs="Times New Roman"/>
          <w:color w:val="222222"/>
          <w:highlight w:val="white"/>
        </w:rPr>
        <w:t>, 26192-26208.</w:t>
      </w:r>
    </w:p>
    <w:p w14:paraId="1D542947" w14:textId="77777777" w:rsidR="0030333D" w:rsidRDefault="00000000">
      <w:pPr>
        <w:pBdr>
          <w:top w:val="nil"/>
          <w:left w:val="nil"/>
          <w:bottom w:val="nil"/>
          <w:right w:val="nil"/>
          <w:between w:val="nil"/>
        </w:pBdr>
        <w:spacing w:before="240" w:after="240" w:line="240" w:lineRule="auto"/>
        <w:ind w:left="450"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222222"/>
          <w:highlight w:val="white"/>
        </w:rPr>
        <w:t>Amor‐Esteban, V., Galindo‐</w:t>
      </w:r>
      <w:proofErr w:type="spellStart"/>
      <w:r>
        <w:rPr>
          <w:rFonts w:ascii="Times New Roman" w:eastAsia="Times New Roman" w:hAnsi="Times New Roman" w:cs="Times New Roman"/>
          <w:color w:val="222222"/>
          <w:highlight w:val="white"/>
        </w:rPr>
        <w:t>Villardón</w:t>
      </w:r>
      <w:proofErr w:type="spellEnd"/>
      <w:r>
        <w:rPr>
          <w:rFonts w:ascii="Times New Roman" w:eastAsia="Times New Roman" w:hAnsi="Times New Roman" w:cs="Times New Roman"/>
          <w:color w:val="222222"/>
          <w:highlight w:val="white"/>
        </w:rPr>
        <w:t>, M. P., García‐Sánchez, I. M., &amp; David, F. (2019). An extension of the industrial corporate social responsibility practices index: New information for stakeholder engagement under a multivariate approach. </w:t>
      </w:r>
      <w:r>
        <w:rPr>
          <w:rFonts w:ascii="Times New Roman" w:eastAsia="Times New Roman" w:hAnsi="Times New Roman" w:cs="Times New Roman"/>
          <w:i/>
          <w:color w:val="222222"/>
        </w:rPr>
        <w:t>Corporate Social Responsibility and Environmental Management</w:t>
      </w:r>
      <w:r>
        <w:rPr>
          <w:rFonts w:ascii="Times New Roman" w:eastAsia="Times New Roman" w:hAnsi="Times New Roman" w:cs="Times New Roman"/>
          <w:color w:val="222222"/>
          <w:highlight w:val="white"/>
        </w:rPr>
        <w:t>, </w:t>
      </w:r>
      <w:r>
        <w:rPr>
          <w:rFonts w:ascii="Times New Roman" w:eastAsia="Times New Roman" w:hAnsi="Times New Roman" w:cs="Times New Roman"/>
          <w:i/>
          <w:color w:val="222222"/>
        </w:rPr>
        <w:t>26</w:t>
      </w:r>
      <w:r>
        <w:rPr>
          <w:rFonts w:ascii="Times New Roman" w:eastAsia="Times New Roman" w:hAnsi="Times New Roman" w:cs="Times New Roman"/>
          <w:color w:val="222222"/>
          <w:highlight w:val="white"/>
        </w:rPr>
        <w:t>(1), 127-140.</w:t>
      </w:r>
    </w:p>
    <w:p w14:paraId="40C04B54"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rPr>
        <w:t>Areneke</w:t>
      </w:r>
      <w:proofErr w:type="spellEnd"/>
      <w:r>
        <w:rPr>
          <w:rFonts w:ascii="Times New Roman" w:eastAsia="Times New Roman" w:hAnsi="Times New Roman" w:cs="Times New Roman"/>
          <w:color w:val="000000"/>
        </w:rPr>
        <w:t xml:space="preserve">, G., &amp; Kimani, D. (2019). Value relevance of multinational directorship and cross-listing on MNEs national governance disclosure practices in Sub-Saharan Africa: Evidence from Nigeria. </w:t>
      </w:r>
      <w:r>
        <w:rPr>
          <w:rFonts w:ascii="Times New Roman" w:eastAsia="Times New Roman" w:hAnsi="Times New Roman" w:cs="Times New Roman"/>
          <w:i/>
          <w:color w:val="000000"/>
        </w:rPr>
        <w:t>Journal of World Business</w:t>
      </w:r>
      <w:r>
        <w:rPr>
          <w:rFonts w:ascii="Times New Roman" w:eastAsia="Times New Roman" w:hAnsi="Times New Roman" w:cs="Times New Roman"/>
          <w:color w:val="000000"/>
        </w:rPr>
        <w:t>, 54(4), 285–306.</w:t>
      </w:r>
    </w:p>
    <w:p w14:paraId="2C16BABF"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222222"/>
          <w:highlight w:val="white"/>
        </w:rPr>
      </w:pPr>
      <w:r>
        <w:rPr>
          <w:rFonts w:ascii="Times New Roman" w:eastAsia="Times New Roman" w:hAnsi="Times New Roman" w:cs="Times New Roman"/>
          <w:color w:val="222222"/>
          <w:highlight w:val="white"/>
        </w:rPr>
        <w:t>Bansal, P., &amp; Song, H. C. (2017). Similar but not the same: Differentiating corporate sustainability from corporate responsibility. </w:t>
      </w:r>
      <w:r>
        <w:rPr>
          <w:rFonts w:ascii="Times New Roman" w:eastAsia="Times New Roman" w:hAnsi="Times New Roman" w:cs="Times New Roman"/>
          <w:i/>
          <w:color w:val="222222"/>
        </w:rPr>
        <w:t>Academy of Management Annals</w:t>
      </w:r>
      <w:r>
        <w:rPr>
          <w:rFonts w:ascii="Times New Roman" w:eastAsia="Times New Roman" w:hAnsi="Times New Roman" w:cs="Times New Roman"/>
          <w:color w:val="222222"/>
          <w:highlight w:val="white"/>
        </w:rPr>
        <w:t>, </w:t>
      </w:r>
      <w:r>
        <w:rPr>
          <w:rFonts w:ascii="Times New Roman" w:eastAsia="Times New Roman" w:hAnsi="Times New Roman" w:cs="Times New Roman"/>
          <w:i/>
          <w:color w:val="222222"/>
        </w:rPr>
        <w:t>11</w:t>
      </w:r>
      <w:r>
        <w:rPr>
          <w:rFonts w:ascii="Times New Roman" w:eastAsia="Times New Roman" w:hAnsi="Times New Roman" w:cs="Times New Roman"/>
          <w:color w:val="222222"/>
          <w:highlight w:val="white"/>
        </w:rPr>
        <w:t>(1), 105-149.</w:t>
      </w:r>
    </w:p>
    <w:p w14:paraId="7F06F412"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222222"/>
          <w:highlight w:val="white"/>
        </w:rPr>
      </w:pPr>
      <w:r>
        <w:rPr>
          <w:rFonts w:ascii="Times New Roman" w:eastAsia="Times New Roman" w:hAnsi="Times New Roman" w:cs="Times New Roman"/>
          <w:color w:val="222222"/>
          <w:highlight w:val="white"/>
        </w:rPr>
        <w:t xml:space="preserve">Barin Cruz, L., &amp; </w:t>
      </w:r>
      <w:proofErr w:type="spellStart"/>
      <w:r>
        <w:rPr>
          <w:rFonts w:ascii="Times New Roman" w:eastAsia="Times New Roman" w:hAnsi="Times New Roman" w:cs="Times New Roman"/>
          <w:color w:val="222222"/>
          <w:highlight w:val="white"/>
        </w:rPr>
        <w:t>Boehe</w:t>
      </w:r>
      <w:proofErr w:type="spellEnd"/>
      <w:r>
        <w:rPr>
          <w:rFonts w:ascii="Times New Roman" w:eastAsia="Times New Roman" w:hAnsi="Times New Roman" w:cs="Times New Roman"/>
          <w:color w:val="222222"/>
          <w:highlight w:val="white"/>
        </w:rPr>
        <w:t>, D. M. (2010). How do leading retail MNCs leverage CSR globally? Insights from Brazil. Journal of Business Ethics, 91, 243-263.</w:t>
      </w:r>
    </w:p>
    <w:p w14:paraId="48CE49B4"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rPr>
      </w:pPr>
      <w:r>
        <w:rPr>
          <w:rFonts w:ascii="Times New Roman" w:eastAsia="Times New Roman" w:hAnsi="Times New Roman" w:cs="Times New Roman"/>
        </w:rPr>
        <w:t xml:space="preserve">Bartlett, C. A., &amp; Ghoshal, S. (1998). Organizing for Worldwide Effectiveness: The Transnational Solution. </w:t>
      </w:r>
      <w:r>
        <w:rPr>
          <w:rFonts w:ascii="Times New Roman" w:eastAsia="Times New Roman" w:hAnsi="Times New Roman" w:cs="Times New Roman"/>
          <w:i/>
        </w:rPr>
        <w:t>California Management Review,</w:t>
      </w:r>
      <w:r>
        <w:rPr>
          <w:rFonts w:ascii="Times New Roman" w:eastAsia="Times New Roman" w:hAnsi="Times New Roman" w:cs="Times New Roman"/>
        </w:rPr>
        <w:t xml:space="preserve"> 31(1), 54-74.</w:t>
      </w:r>
    </w:p>
    <w:p w14:paraId="2CEE5F46"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Baum, J. A. C., &amp; Singh, J. V. (1994). </w:t>
      </w:r>
      <w:r>
        <w:rPr>
          <w:rFonts w:ascii="Times New Roman" w:eastAsia="Times New Roman" w:hAnsi="Times New Roman" w:cs="Times New Roman"/>
          <w:i/>
          <w:color w:val="000000"/>
        </w:rPr>
        <w:t>Evolutionary Dynamics of Organizations</w:t>
      </w:r>
      <w:r>
        <w:rPr>
          <w:rFonts w:ascii="Times New Roman" w:eastAsia="Times New Roman" w:hAnsi="Times New Roman" w:cs="Times New Roman"/>
          <w:color w:val="000000"/>
        </w:rPr>
        <w:t>. Oxford University Press.</w:t>
      </w:r>
    </w:p>
    <w:p w14:paraId="4FC9D4F3"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Bebbington, J., &amp; </w:t>
      </w:r>
      <w:proofErr w:type="spellStart"/>
      <w:r>
        <w:rPr>
          <w:rFonts w:ascii="Times New Roman" w:eastAsia="Times New Roman" w:hAnsi="Times New Roman" w:cs="Times New Roman"/>
          <w:color w:val="000000"/>
        </w:rPr>
        <w:t>Unerman</w:t>
      </w:r>
      <w:proofErr w:type="spellEnd"/>
      <w:r>
        <w:rPr>
          <w:rFonts w:ascii="Times New Roman" w:eastAsia="Times New Roman" w:hAnsi="Times New Roman" w:cs="Times New Roman"/>
          <w:color w:val="000000"/>
        </w:rPr>
        <w:t xml:space="preserve">, J. (2018). Achieving the United Nations Sustainable Development Goals: An enabling role for accounting research. </w:t>
      </w:r>
      <w:r>
        <w:rPr>
          <w:rFonts w:ascii="Times New Roman" w:eastAsia="Times New Roman" w:hAnsi="Times New Roman" w:cs="Times New Roman"/>
          <w:i/>
          <w:color w:val="000000"/>
        </w:rPr>
        <w:t>Accounting, Auditing &amp; Accountability Journal</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31</w:t>
      </w:r>
      <w:r>
        <w:rPr>
          <w:rFonts w:ascii="Times New Roman" w:eastAsia="Times New Roman" w:hAnsi="Times New Roman" w:cs="Times New Roman"/>
          <w:color w:val="000000"/>
        </w:rPr>
        <w:t>(1), 2–24.</w:t>
      </w:r>
    </w:p>
    <w:p w14:paraId="0CFB43EC" w14:textId="77777777" w:rsidR="0030333D" w:rsidRDefault="00000000">
      <w:pP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rPr>
        <w:t>Berkeley Law. 2016. The common law and civil law traditions. Retrieved from https://www.law.berkeley.edu/research/the-robbins-collection/exhibitions/common-law-civil-law-traditions/.</w:t>
      </w:r>
    </w:p>
    <w:p w14:paraId="1E697FD1"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Berry, H., Guillén, M. F., &amp; Zhou, N. (2010). An institutional approach to cross-national distance. </w:t>
      </w:r>
      <w:r>
        <w:rPr>
          <w:rFonts w:ascii="Times New Roman" w:eastAsia="Times New Roman" w:hAnsi="Times New Roman" w:cs="Times New Roman"/>
          <w:i/>
          <w:color w:val="000000"/>
        </w:rPr>
        <w:t>Journal of International Business Studies</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41</w:t>
      </w:r>
      <w:r>
        <w:rPr>
          <w:rFonts w:ascii="Times New Roman" w:eastAsia="Times New Roman" w:hAnsi="Times New Roman" w:cs="Times New Roman"/>
          <w:color w:val="000000"/>
        </w:rPr>
        <w:t>(9), 1460–1480.</w:t>
      </w:r>
    </w:p>
    <w:p w14:paraId="5059288D"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rPr>
        <w:lastRenderedPageBreak/>
        <w:t>Boiral</w:t>
      </w:r>
      <w:proofErr w:type="spellEnd"/>
      <w:r>
        <w:rPr>
          <w:rFonts w:ascii="Times New Roman" w:eastAsia="Times New Roman" w:hAnsi="Times New Roman" w:cs="Times New Roman"/>
          <w:color w:val="000000"/>
        </w:rPr>
        <w:t xml:space="preserve">, O. (2007). Corporate Greening Through ISO 14001: A Rational Myth? </w:t>
      </w:r>
      <w:r>
        <w:rPr>
          <w:rFonts w:ascii="Times New Roman" w:eastAsia="Times New Roman" w:hAnsi="Times New Roman" w:cs="Times New Roman"/>
          <w:i/>
          <w:color w:val="000000"/>
        </w:rPr>
        <w:t>Organization Science</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18</w:t>
      </w:r>
      <w:r>
        <w:rPr>
          <w:rFonts w:ascii="Times New Roman" w:eastAsia="Times New Roman" w:hAnsi="Times New Roman" w:cs="Times New Roman"/>
          <w:color w:val="000000"/>
        </w:rPr>
        <w:t>(1), 127–146.</w:t>
      </w:r>
      <w:hyperlink r:id="rId9">
        <w:r>
          <w:rPr>
            <w:rFonts w:ascii="Times New Roman" w:eastAsia="Times New Roman" w:hAnsi="Times New Roman" w:cs="Times New Roman"/>
            <w:color w:val="000000"/>
            <w:u w:val="single"/>
          </w:rPr>
          <w:t> </w:t>
        </w:r>
      </w:hyperlink>
    </w:p>
    <w:p w14:paraId="077588D6"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Boiral</w:t>
      </w:r>
      <w:proofErr w:type="spellEnd"/>
      <w:r>
        <w:rPr>
          <w:rFonts w:ascii="Times New Roman" w:eastAsia="Times New Roman" w:hAnsi="Times New Roman" w:cs="Times New Roman"/>
          <w:color w:val="000000"/>
        </w:rPr>
        <w:t xml:space="preserve">, O. (2013). Sustainability reports as simulacra? A counter-account of A and A+ GRI reports. </w:t>
      </w:r>
      <w:r>
        <w:rPr>
          <w:rFonts w:ascii="Times New Roman" w:eastAsia="Times New Roman" w:hAnsi="Times New Roman" w:cs="Times New Roman"/>
          <w:i/>
          <w:color w:val="000000"/>
        </w:rPr>
        <w:t>Accounting, Auditing &amp; Accountability Journal</w:t>
      </w:r>
      <w:r>
        <w:rPr>
          <w:rFonts w:ascii="Times New Roman" w:eastAsia="Times New Roman" w:hAnsi="Times New Roman" w:cs="Times New Roman"/>
          <w:color w:val="000000"/>
        </w:rPr>
        <w:t>, 26(7), 1036-1071.</w:t>
      </w:r>
    </w:p>
    <w:p w14:paraId="430F2487"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color w:val="000000"/>
        </w:rPr>
        <w:t>Boiral</w:t>
      </w:r>
      <w:proofErr w:type="spellEnd"/>
      <w:r>
        <w:rPr>
          <w:rFonts w:ascii="Times New Roman" w:eastAsia="Times New Roman" w:hAnsi="Times New Roman" w:cs="Times New Roman"/>
          <w:color w:val="000000"/>
        </w:rPr>
        <w:t>, O., &amp; Heras-</w:t>
      </w:r>
      <w:proofErr w:type="spellStart"/>
      <w:r>
        <w:rPr>
          <w:rFonts w:ascii="Times New Roman" w:eastAsia="Times New Roman" w:hAnsi="Times New Roman" w:cs="Times New Roman"/>
          <w:color w:val="000000"/>
        </w:rPr>
        <w:t>Saizarbitoria</w:t>
      </w:r>
      <w:proofErr w:type="spellEnd"/>
      <w:r>
        <w:rPr>
          <w:rFonts w:ascii="Times New Roman" w:eastAsia="Times New Roman" w:hAnsi="Times New Roman" w:cs="Times New Roman"/>
          <w:color w:val="000000"/>
        </w:rPr>
        <w:t>, I. (2020). Sustainability reporting assurance: Creating stakeholder accountability through hyperreality?. Journal of Cleaner Production, 243, 118596.</w:t>
      </w:r>
    </w:p>
    <w:p w14:paraId="36F91E05"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222222"/>
          <w:highlight w:val="white"/>
        </w:rPr>
      </w:pPr>
      <w:proofErr w:type="spellStart"/>
      <w:r>
        <w:rPr>
          <w:rFonts w:ascii="Times New Roman" w:eastAsia="Times New Roman" w:hAnsi="Times New Roman" w:cs="Times New Roman"/>
          <w:color w:val="222222"/>
          <w:highlight w:val="white"/>
        </w:rPr>
        <w:t>Boehe</w:t>
      </w:r>
      <w:proofErr w:type="spellEnd"/>
      <w:r>
        <w:rPr>
          <w:rFonts w:ascii="Times New Roman" w:eastAsia="Times New Roman" w:hAnsi="Times New Roman" w:cs="Times New Roman"/>
          <w:color w:val="222222"/>
          <w:highlight w:val="white"/>
        </w:rPr>
        <w:t xml:space="preserve">. (2011). Exploiting the liability of foreignness: Why do service firms exploit foreign affiliate networks at home? </w:t>
      </w:r>
      <w:r>
        <w:rPr>
          <w:rFonts w:ascii="Times New Roman" w:eastAsia="Times New Roman" w:hAnsi="Times New Roman" w:cs="Times New Roman"/>
          <w:i/>
          <w:color w:val="222222"/>
          <w:highlight w:val="white"/>
        </w:rPr>
        <w:t>Journal of International Management</w:t>
      </w:r>
      <w:r>
        <w:rPr>
          <w:rFonts w:ascii="Times New Roman" w:eastAsia="Times New Roman" w:hAnsi="Times New Roman" w:cs="Times New Roman"/>
          <w:color w:val="222222"/>
          <w:highlight w:val="white"/>
        </w:rPr>
        <w:t>, 17(1), 15–29. https://doi.org/10.1016/j.intman.2010.09.011</w:t>
      </w:r>
    </w:p>
    <w:p w14:paraId="0E016A87"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222222"/>
          <w:highlight w:val="white"/>
        </w:rPr>
        <w:t xml:space="preserve">Bose, S., &amp; Khan, H. Z. (2022). Sustainable development goals (SDGs) reporting and the role of country-level institutional factors: </w:t>
      </w:r>
      <w:proofErr w:type="gramStart"/>
      <w:r>
        <w:rPr>
          <w:rFonts w:ascii="Times New Roman" w:eastAsia="Times New Roman" w:hAnsi="Times New Roman" w:cs="Times New Roman"/>
          <w:color w:val="222222"/>
          <w:highlight w:val="white"/>
        </w:rPr>
        <w:t>An international evidence</w:t>
      </w:r>
      <w:proofErr w:type="gramEnd"/>
      <w:r>
        <w:rPr>
          <w:rFonts w:ascii="Times New Roman" w:eastAsia="Times New Roman" w:hAnsi="Times New Roman" w:cs="Times New Roman"/>
          <w:color w:val="222222"/>
          <w:highlight w:val="white"/>
        </w:rPr>
        <w:t>. </w:t>
      </w:r>
      <w:r>
        <w:rPr>
          <w:rFonts w:ascii="Times New Roman" w:eastAsia="Times New Roman" w:hAnsi="Times New Roman" w:cs="Times New Roman"/>
          <w:i/>
          <w:color w:val="222222"/>
        </w:rPr>
        <w:t>Journal of Cleaner Production</w:t>
      </w:r>
      <w:r>
        <w:rPr>
          <w:rFonts w:ascii="Times New Roman" w:eastAsia="Times New Roman" w:hAnsi="Times New Roman" w:cs="Times New Roman"/>
          <w:color w:val="222222"/>
          <w:highlight w:val="white"/>
        </w:rPr>
        <w:t>, </w:t>
      </w:r>
      <w:r>
        <w:rPr>
          <w:rFonts w:ascii="Times New Roman" w:eastAsia="Times New Roman" w:hAnsi="Times New Roman" w:cs="Times New Roman"/>
          <w:i/>
          <w:color w:val="222222"/>
        </w:rPr>
        <w:t>335</w:t>
      </w:r>
      <w:r>
        <w:rPr>
          <w:rFonts w:ascii="Times New Roman" w:eastAsia="Times New Roman" w:hAnsi="Times New Roman" w:cs="Times New Roman"/>
          <w:color w:val="222222"/>
          <w:highlight w:val="white"/>
        </w:rPr>
        <w:t>, 130290.</w:t>
      </w:r>
    </w:p>
    <w:p w14:paraId="6760862C"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rPr>
        <w:t>Boubakri</w:t>
      </w:r>
      <w:proofErr w:type="spellEnd"/>
      <w:r>
        <w:rPr>
          <w:rFonts w:ascii="Times New Roman" w:eastAsia="Times New Roman" w:hAnsi="Times New Roman" w:cs="Times New Roman"/>
          <w:color w:val="000000"/>
        </w:rPr>
        <w:t xml:space="preserve">, N., Cosset, J. C., &amp; </w:t>
      </w:r>
      <w:proofErr w:type="spellStart"/>
      <w:r>
        <w:rPr>
          <w:rFonts w:ascii="Times New Roman" w:eastAsia="Times New Roman" w:hAnsi="Times New Roman" w:cs="Times New Roman"/>
          <w:color w:val="000000"/>
        </w:rPr>
        <w:t>Guedhami</w:t>
      </w:r>
      <w:proofErr w:type="spellEnd"/>
      <w:r>
        <w:rPr>
          <w:rFonts w:ascii="Times New Roman" w:eastAsia="Times New Roman" w:hAnsi="Times New Roman" w:cs="Times New Roman"/>
          <w:color w:val="000000"/>
        </w:rPr>
        <w:t xml:space="preserve">, O. (2005). </w:t>
      </w:r>
      <w:proofErr w:type="spellStart"/>
      <w:r>
        <w:rPr>
          <w:rFonts w:ascii="Times New Roman" w:eastAsia="Times New Roman" w:hAnsi="Times New Roman" w:cs="Times New Roman"/>
          <w:color w:val="000000"/>
        </w:rPr>
        <w:t>Postprivatization</w:t>
      </w:r>
      <w:proofErr w:type="spellEnd"/>
      <w:r>
        <w:rPr>
          <w:rFonts w:ascii="Times New Roman" w:eastAsia="Times New Roman" w:hAnsi="Times New Roman" w:cs="Times New Roman"/>
          <w:color w:val="000000"/>
        </w:rPr>
        <w:t xml:space="preserve"> corporate governance: The role of ownership structure and investor protection. </w:t>
      </w:r>
      <w:r>
        <w:rPr>
          <w:rFonts w:ascii="Times New Roman" w:eastAsia="Times New Roman" w:hAnsi="Times New Roman" w:cs="Times New Roman"/>
          <w:i/>
          <w:color w:val="000000"/>
        </w:rPr>
        <w:t>Journal of Financial Economics</w:t>
      </w:r>
      <w:r>
        <w:rPr>
          <w:rFonts w:ascii="Times New Roman" w:eastAsia="Times New Roman" w:hAnsi="Times New Roman" w:cs="Times New Roman"/>
          <w:color w:val="000000"/>
        </w:rPr>
        <w:t>, 76, 369–399.</w:t>
      </w:r>
    </w:p>
    <w:p w14:paraId="7D082A9C"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Buchanan, S., &amp; Marques, J. C. (2018). How home country industry associations influence MNE international CSR practices: Evidence from the Canadian mining industry. </w:t>
      </w:r>
      <w:r>
        <w:rPr>
          <w:rFonts w:ascii="Times New Roman" w:eastAsia="Times New Roman" w:hAnsi="Times New Roman" w:cs="Times New Roman"/>
          <w:i/>
          <w:color w:val="000000"/>
        </w:rPr>
        <w:t>Journal of World Business</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53</w:t>
      </w:r>
      <w:r>
        <w:rPr>
          <w:rFonts w:ascii="Times New Roman" w:eastAsia="Times New Roman" w:hAnsi="Times New Roman" w:cs="Times New Roman"/>
          <w:color w:val="000000"/>
        </w:rPr>
        <w:t>(1), 63–74.</w:t>
      </w:r>
      <w:hyperlink r:id="rId10">
        <w:r>
          <w:rPr>
            <w:rFonts w:ascii="Times New Roman" w:eastAsia="Times New Roman" w:hAnsi="Times New Roman" w:cs="Times New Roman"/>
            <w:color w:val="000000"/>
            <w:u w:val="single"/>
          </w:rPr>
          <w:t> </w:t>
        </w:r>
      </w:hyperlink>
    </w:p>
    <w:p w14:paraId="3D57A0B4"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Cantwell, J., Dunning, J. H., &amp; </w:t>
      </w:r>
      <w:proofErr w:type="spellStart"/>
      <w:r>
        <w:rPr>
          <w:rFonts w:ascii="Times New Roman" w:eastAsia="Times New Roman" w:hAnsi="Times New Roman" w:cs="Times New Roman"/>
          <w:color w:val="000000"/>
        </w:rPr>
        <w:t>Lundan</w:t>
      </w:r>
      <w:proofErr w:type="spellEnd"/>
      <w:r>
        <w:rPr>
          <w:rFonts w:ascii="Times New Roman" w:eastAsia="Times New Roman" w:hAnsi="Times New Roman" w:cs="Times New Roman"/>
          <w:color w:val="000000"/>
        </w:rPr>
        <w:t xml:space="preserve">, S. M. (2010). An evolutionary approach to understanding international business activity: The co-evolution of MNEs and the institutional environment. </w:t>
      </w:r>
      <w:r>
        <w:rPr>
          <w:rFonts w:ascii="Times New Roman" w:eastAsia="Times New Roman" w:hAnsi="Times New Roman" w:cs="Times New Roman"/>
          <w:i/>
          <w:color w:val="000000"/>
        </w:rPr>
        <w:t>Journal of International Business Studies</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41</w:t>
      </w:r>
      <w:r>
        <w:rPr>
          <w:rFonts w:ascii="Times New Roman" w:eastAsia="Times New Roman" w:hAnsi="Times New Roman" w:cs="Times New Roman"/>
          <w:color w:val="000000"/>
        </w:rPr>
        <w:t>(4), 567–586.</w:t>
      </w:r>
      <w:hyperlink r:id="rId11">
        <w:r>
          <w:rPr>
            <w:rFonts w:ascii="Times New Roman" w:eastAsia="Times New Roman" w:hAnsi="Times New Roman" w:cs="Times New Roman"/>
            <w:color w:val="000000"/>
            <w:u w:val="single"/>
          </w:rPr>
          <w:t> </w:t>
        </w:r>
      </w:hyperlink>
    </w:p>
    <w:p w14:paraId="65BCE0F2"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Cho, C. H., &amp; Patten, D. M. (2007). The role of environmental disclosures as tools of legitimacy: A research note. </w:t>
      </w:r>
      <w:r>
        <w:rPr>
          <w:rFonts w:ascii="Times New Roman" w:eastAsia="Times New Roman" w:hAnsi="Times New Roman" w:cs="Times New Roman"/>
          <w:i/>
          <w:color w:val="000000"/>
        </w:rPr>
        <w:t>Accounting, Organizations and Society</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32</w:t>
      </w:r>
      <w:r>
        <w:rPr>
          <w:rFonts w:ascii="Times New Roman" w:eastAsia="Times New Roman" w:hAnsi="Times New Roman" w:cs="Times New Roman"/>
          <w:color w:val="000000"/>
        </w:rPr>
        <w:t>(7), 639–647.</w:t>
      </w:r>
    </w:p>
    <w:p w14:paraId="1A0E8FAA" w14:textId="77777777" w:rsidR="0030333D" w:rsidRPr="0035353C"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lang w:val="es-ES"/>
        </w:rPr>
      </w:pPr>
      <w:r>
        <w:rPr>
          <w:rFonts w:ascii="Times New Roman" w:eastAsia="Times New Roman" w:hAnsi="Times New Roman" w:cs="Times New Roman"/>
          <w:color w:val="222222"/>
          <w:highlight w:val="white"/>
        </w:rPr>
        <w:t>Cubilla‐Montilla, M. I., Galindo‐</w:t>
      </w:r>
      <w:proofErr w:type="spellStart"/>
      <w:r>
        <w:rPr>
          <w:rFonts w:ascii="Times New Roman" w:eastAsia="Times New Roman" w:hAnsi="Times New Roman" w:cs="Times New Roman"/>
          <w:color w:val="222222"/>
          <w:highlight w:val="white"/>
        </w:rPr>
        <w:t>Villardón</w:t>
      </w:r>
      <w:proofErr w:type="spellEnd"/>
      <w:r>
        <w:rPr>
          <w:rFonts w:ascii="Times New Roman" w:eastAsia="Times New Roman" w:hAnsi="Times New Roman" w:cs="Times New Roman"/>
          <w:color w:val="222222"/>
          <w:highlight w:val="white"/>
        </w:rPr>
        <w:t>, P., Nieto‐</w:t>
      </w:r>
      <w:proofErr w:type="spellStart"/>
      <w:r>
        <w:rPr>
          <w:rFonts w:ascii="Times New Roman" w:eastAsia="Times New Roman" w:hAnsi="Times New Roman" w:cs="Times New Roman"/>
          <w:color w:val="222222"/>
          <w:highlight w:val="white"/>
        </w:rPr>
        <w:t>Librero</w:t>
      </w:r>
      <w:proofErr w:type="spellEnd"/>
      <w:r>
        <w:rPr>
          <w:rFonts w:ascii="Times New Roman" w:eastAsia="Times New Roman" w:hAnsi="Times New Roman" w:cs="Times New Roman"/>
          <w:color w:val="222222"/>
          <w:highlight w:val="white"/>
        </w:rPr>
        <w:t>, A. B., Vicente Galindo, M. P., &amp; García‐Sánchez, I. M. (2020). What companies do not disclose about their environmental policy and what institutional pressures may do to respect. </w:t>
      </w:r>
      <w:proofErr w:type="spellStart"/>
      <w:r w:rsidRPr="0035353C">
        <w:rPr>
          <w:rFonts w:ascii="Times New Roman" w:eastAsia="Times New Roman" w:hAnsi="Times New Roman" w:cs="Times New Roman"/>
          <w:i/>
          <w:color w:val="222222"/>
          <w:lang w:val="es-ES"/>
        </w:rPr>
        <w:t>Corporate</w:t>
      </w:r>
      <w:proofErr w:type="spellEnd"/>
      <w:r w:rsidRPr="0035353C">
        <w:rPr>
          <w:rFonts w:ascii="Times New Roman" w:eastAsia="Times New Roman" w:hAnsi="Times New Roman" w:cs="Times New Roman"/>
          <w:i/>
          <w:color w:val="222222"/>
          <w:lang w:val="es-ES"/>
        </w:rPr>
        <w:t xml:space="preserve"> Social </w:t>
      </w:r>
      <w:proofErr w:type="spellStart"/>
      <w:r w:rsidRPr="0035353C">
        <w:rPr>
          <w:rFonts w:ascii="Times New Roman" w:eastAsia="Times New Roman" w:hAnsi="Times New Roman" w:cs="Times New Roman"/>
          <w:i/>
          <w:color w:val="222222"/>
          <w:lang w:val="es-ES"/>
        </w:rPr>
        <w:t>Responsibility</w:t>
      </w:r>
      <w:proofErr w:type="spellEnd"/>
      <w:r w:rsidRPr="0035353C">
        <w:rPr>
          <w:rFonts w:ascii="Times New Roman" w:eastAsia="Times New Roman" w:hAnsi="Times New Roman" w:cs="Times New Roman"/>
          <w:i/>
          <w:color w:val="222222"/>
          <w:lang w:val="es-ES"/>
        </w:rPr>
        <w:t xml:space="preserve"> and </w:t>
      </w:r>
      <w:proofErr w:type="spellStart"/>
      <w:r w:rsidRPr="0035353C">
        <w:rPr>
          <w:rFonts w:ascii="Times New Roman" w:eastAsia="Times New Roman" w:hAnsi="Times New Roman" w:cs="Times New Roman"/>
          <w:i/>
          <w:color w:val="222222"/>
          <w:lang w:val="es-ES"/>
        </w:rPr>
        <w:t>Environmental</w:t>
      </w:r>
      <w:proofErr w:type="spellEnd"/>
      <w:r w:rsidRPr="0035353C">
        <w:rPr>
          <w:rFonts w:ascii="Times New Roman" w:eastAsia="Times New Roman" w:hAnsi="Times New Roman" w:cs="Times New Roman"/>
          <w:i/>
          <w:color w:val="222222"/>
          <w:lang w:val="es-ES"/>
        </w:rPr>
        <w:t xml:space="preserve"> Management</w:t>
      </w:r>
      <w:r w:rsidRPr="0035353C">
        <w:rPr>
          <w:rFonts w:ascii="Times New Roman" w:eastAsia="Times New Roman" w:hAnsi="Times New Roman" w:cs="Times New Roman"/>
          <w:color w:val="222222"/>
          <w:highlight w:val="white"/>
          <w:lang w:val="es-ES"/>
        </w:rPr>
        <w:t>, </w:t>
      </w:r>
      <w:r w:rsidRPr="0035353C">
        <w:rPr>
          <w:rFonts w:ascii="Times New Roman" w:eastAsia="Times New Roman" w:hAnsi="Times New Roman" w:cs="Times New Roman"/>
          <w:i/>
          <w:color w:val="222222"/>
          <w:lang w:val="es-ES"/>
        </w:rPr>
        <w:t>27</w:t>
      </w:r>
      <w:r w:rsidRPr="0035353C">
        <w:rPr>
          <w:rFonts w:ascii="Times New Roman" w:eastAsia="Times New Roman" w:hAnsi="Times New Roman" w:cs="Times New Roman"/>
          <w:color w:val="222222"/>
          <w:highlight w:val="white"/>
          <w:lang w:val="es-ES"/>
        </w:rPr>
        <w:t>(3), 1181-1197.</w:t>
      </w:r>
    </w:p>
    <w:p w14:paraId="3BAA27E0"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sidRPr="0035353C">
        <w:rPr>
          <w:rFonts w:ascii="Times New Roman" w:eastAsia="Times New Roman" w:hAnsi="Times New Roman" w:cs="Times New Roman"/>
          <w:color w:val="000000"/>
          <w:lang w:val="es-ES"/>
        </w:rPr>
        <w:t xml:space="preserve">Cuervo-Cazurra, A., </w:t>
      </w:r>
      <w:proofErr w:type="spellStart"/>
      <w:r w:rsidRPr="0035353C">
        <w:rPr>
          <w:rFonts w:ascii="Times New Roman" w:eastAsia="Times New Roman" w:hAnsi="Times New Roman" w:cs="Times New Roman"/>
          <w:color w:val="000000"/>
          <w:lang w:val="es-ES"/>
        </w:rPr>
        <w:t>Ciravegna</w:t>
      </w:r>
      <w:proofErr w:type="spellEnd"/>
      <w:r w:rsidRPr="0035353C">
        <w:rPr>
          <w:rFonts w:ascii="Times New Roman" w:eastAsia="Times New Roman" w:hAnsi="Times New Roman" w:cs="Times New Roman"/>
          <w:color w:val="000000"/>
          <w:lang w:val="es-ES"/>
        </w:rPr>
        <w:t xml:space="preserve">, L., Melgarejo, M., &amp; </w:t>
      </w:r>
      <w:proofErr w:type="spellStart"/>
      <w:r w:rsidRPr="0035353C">
        <w:rPr>
          <w:rFonts w:ascii="Times New Roman" w:eastAsia="Times New Roman" w:hAnsi="Times New Roman" w:cs="Times New Roman"/>
          <w:color w:val="000000"/>
          <w:lang w:val="es-ES"/>
        </w:rPr>
        <w:t>Lopez</w:t>
      </w:r>
      <w:proofErr w:type="spellEnd"/>
      <w:r w:rsidRPr="0035353C">
        <w:rPr>
          <w:rFonts w:ascii="Times New Roman" w:eastAsia="Times New Roman" w:hAnsi="Times New Roman" w:cs="Times New Roman"/>
          <w:color w:val="000000"/>
          <w:lang w:val="es-ES"/>
        </w:rPr>
        <w:t xml:space="preserve">, L. (2018). </w:t>
      </w:r>
      <w:r>
        <w:rPr>
          <w:rFonts w:ascii="Times New Roman" w:eastAsia="Times New Roman" w:hAnsi="Times New Roman" w:cs="Times New Roman"/>
          <w:color w:val="000000"/>
        </w:rPr>
        <w:t xml:space="preserve">Home country uncertainty and the internationalization-performance relationship: Building an uncertainty management capability. </w:t>
      </w:r>
      <w:r>
        <w:rPr>
          <w:rFonts w:ascii="Times New Roman" w:eastAsia="Times New Roman" w:hAnsi="Times New Roman" w:cs="Times New Roman"/>
          <w:i/>
          <w:color w:val="000000"/>
        </w:rPr>
        <w:t>Journal of World Business</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53</w:t>
      </w:r>
      <w:r>
        <w:rPr>
          <w:rFonts w:ascii="Times New Roman" w:eastAsia="Times New Roman" w:hAnsi="Times New Roman" w:cs="Times New Roman"/>
          <w:color w:val="000000"/>
        </w:rPr>
        <w:t>(2), 209–221. </w:t>
      </w:r>
    </w:p>
    <w:p w14:paraId="09C8A248"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Dau, L. A., Moore, E. M., &amp; Newburry, W. (2020). The grass is always greener: The impact of home and host country CSR reputation signaling on cross-country investments</w:t>
      </w:r>
      <w:r>
        <w:rPr>
          <w:rFonts w:ascii="Times New Roman" w:eastAsia="Times New Roman" w:hAnsi="Times New Roman" w:cs="Times New Roman"/>
          <w:i/>
          <w:color w:val="000000"/>
        </w:rPr>
        <w:t>. Journal of International Business Policy</w:t>
      </w:r>
      <w:r>
        <w:rPr>
          <w:rFonts w:ascii="Times New Roman" w:eastAsia="Times New Roman" w:hAnsi="Times New Roman" w:cs="Times New Roman"/>
          <w:color w:val="000000"/>
        </w:rPr>
        <w:t>, 3, 154-182.</w:t>
      </w:r>
    </w:p>
    <w:p w14:paraId="710658D4"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rPr>
        <w:t>Delios</w:t>
      </w:r>
      <w:proofErr w:type="spellEnd"/>
      <w:r>
        <w:rPr>
          <w:rFonts w:ascii="Times New Roman" w:eastAsia="Times New Roman" w:hAnsi="Times New Roman" w:cs="Times New Roman"/>
          <w:color w:val="000000"/>
        </w:rPr>
        <w:t xml:space="preserve">, A., &amp; </w:t>
      </w:r>
      <w:proofErr w:type="spellStart"/>
      <w:r>
        <w:rPr>
          <w:rFonts w:ascii="Times New Roman" w:eastAsia="Times New Roman" w:hAnsi="Times New Roman" w:cs="Times New Roman"/>
          <w:color w:val="000000"/>
        </w:rPr>
        <w:t>Henisz</w:t>
      </w:r>
      <w:proofErr w:type="spellEnd"/>
      <w:r>
        <w:rPr>
          <w:rFonts w:ascii="Times New Roman" w:eastAsia="Times New Roman" w:hAnsi="Times New Roman" w:cs="Times New Roman"/>
          <w:color w:val="000000"/>
        </w:rPr>
        <w:t xml:space="preserve">, W. J. (2003). Policy uncertainty and the sequence of entry by Japanese firms, 1980–1998. </w:t>
      </w:r>
      <w:r>
        <w:rPr>
          <w:rFonts w:ascii="Times New Roman" w:eastAsia="Times New Roman" w:hAnsi="Times New Roman" w:cs="Times New Roman"/>
          <w:i/>
          <w:color w:val="000000"/>
        </w:rPr>
        <w:t>Journal of International Business Studies</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34</w:t>
      </w:r>
      <w:r>
        <w:rPr>
          <w:rFonts w:ascii="Times New Roman" w:eastAsia="Times New Roman" w:hAnsi="Times New Roman" w:cs="Times New Roman"/>
          <w:color w:val="000000"/>
        </w:rPr>
        <w:t>(3), 227–241.</w:t>
      </w:r>
    </w:p>
    <w:p w14:paraId="1B8AB175"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222222"/>
          <w:highlight w:val="white"/>
        </w:rPr>
        <w:t>DiMaggio, P. J., &amp; Powell, W. W. (1983). The iron cage revisited: Institutional isomorphism and collective rationality in organizational fields. </w:t>
      </w:r>
      <w:r>
        <w:rPr>
          <w:rFonts w:ascii="Times New Roman" w:eastAsia="Times New Roman" w:hAnsi="Times New Roman" w:cs="Times New Roman"/>
          <w:i/>
          <w:color w:val="222222"/>
        </w:rPr>
        <w:t>American Sociological Review</w:t>
      </w:r>
      <w:r>
        <w:rPr>
          <w:rFonts w:ascii="Times New Roman" w:eastAsia="Times New Roman" w:hAnsi="Times New Roman" w:cs="Times New Roman"/>
          <w:color w:val="222222"/>
          <w:highlight w:val="white"/>
        </w:rPr>
        <w:t>, 147-160.</w:t>
      </w:r>
    </w:p>
    <w:p w14:paraId="32C69379"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222222"/>
          <w:highlight w:val="white"/>
        </w:rPr>
        <w:lastRenderedPageBreak/>
        <w:t xml:space="preserve">Di Vaio, A., &amp; Varriale, L. (2020). SDGs and airport sustainable performance: Evidence from Italy on </w:t>
      </w:r>
      <w:proofErr w:type="spellStart"/>
      <w:r>
        <w:rPr>
          <w:rFonts w:ascii="Times New Roman" w:eastAsia="Times New Roman" w:hAnsi="Times New Roman" w:cs="Times New Roman"/>
          <w:color w:val="222222"/>
          <w:highlight w:val="white"/>
        </w:rPr>
        <w:t>organisational</w:t>
      </w:r>
      <w:proofErr w:type="spellEnd"/>
      <w:r>
        <w:rPr>
          <w:rFonts w:ascii="Times New Roman" w:eastAsia="Times New Roman" w:hAnsi="Times New Roman" w:cs="Times New Roman"/>
          <w:color w:val="222222"/>
          <w:highlight w:val="white"/>
        </w:rPr>
        <w:t>, accounting and reporting practices through financial and non-financial disclosure. </w:t>
      </w:r>
      <w:r>
        <w:rPr>
          <w:rFonts w:ascii="Times New Roman" w:eastAsia="Times New Roman" w:hAnsi="Times New Roman" w:cs="Times New Roman"/>
          <w:i/>
          <w:color w:val="222222"/>
        </w:rPr>
        <w:t>Journal of Cleaner Production</w:t>
      </w:r>
      <w:r>
        <w:rPr>
          <w:rFonts w:ascii="Times New Roman" w:eastAsia="Times New Roman" w:hAnsi="Times New Roman" w:cs="Times New Roman"/>
          <w:color w:val="222222"/>
          <w:highlight w:val="white"/>
        </w:rPr>
        <w:t>, </w:t>
      </w:r>
      <w:r>
        <w:rPr>
          <w:rFonts w:ascii="Times New Roman" w:eastAsia="Times New Roman" w:hAnsi="Times New Roman" w:cs="Times New Roman"/>
          <w:i/>
          <w:color w:val="222222"/>
        </w:rPr>
        <w:t>249</w:t>
      </w:r>
      <w:r>
        <w:rPr>
          <w:rFonts w:ascii="Times New Roman" w:eastAsia="Times New Roman" w:hAnsi="Times New Roman" w:cs="Times New Roman"/>
          <w:color w:val="222222"/>
          <w:highlight w:val="white"/>
        </w:rPr>
        <w:t>, 119431.</w:t>
      </w:r>
    </w:p>
    <w:p w14:paraId="071444C1"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Doh, J., Rodrigues, S., Saka-</w:t>
      </w:r>
      <w:proofErr w:type="spellStart"/>
      <w:r>
        <w:rPr>
          <w:rFonts w:ascii="Times New Roman" w:eastAsia="Times New Roman" w:hAnsi="Times New Roman" w:cs="Times New Roman"/>
          <w:color w:val="000000"/>
        </w:rPr>
        <w:t>Helmhout</w:t>
      </w:r>
      <w:proofErr w:type="spellEnd"/>
      <w:r>
        <w:rPr>
          <w:rFonts w:ascii="Times New Roman" w:eastAsia="Times New Roman" w:hAnsi="Times New Roman" w:cs="Times New Roman"/>
          <w:color w:val="000000"/>
        </w:rPr>
        <w:t xml:space="preserve">, A., &amp; Makhija, M. (2017). International business responses to institutional voids. </w:t>
      </w:r>
      <w:r>
        <w:rPr>
          <w:rFonts w:ascii="Times New Roman" w:eastAsia="Times New Roman" w:hAnsi="Times New Roman" w:cs="Times New Roman"/>
          <w:i/>
          <w:color w:val="000000"/>
        </w:rPr>
        <w:t>Journal of International Business Studies</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48</w:t>
      </w:r>
      <w:r>
        <w:rPr>
          <w:rFonts w:ascii="Times New Roman" w:eastAsia="Times New Roman" w:hAnsi="Times New Roman" w:cs="Times New Roman"/>
          <w:color w:val="000000"/>
        </w:rPr>
        <w:t>(3), 293–307.</w:t>
      </w:r>
    </w:p>
    <w:p w14:paraId="2F9E51A4"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Donaldson, T., &amp; Dunfee, T. W. 1999. Ties that bind: A social contracts approach to business ethics. Boston: Harvard University Press. </w:t>
      </w:r>
    </w:p>
    <w:p w14:paraId="67AEDCE3"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Donoher, W. J. (2017). The multinational and the legitimation of sustainable development. </w:t>
      </w:r>
      <w:r>
        <w:rPr>
          <w:rFonts w:ascii="Times New Roman" w:eastAsia="Times New Roman" w:hAnsi="Times New Roman" w:cs="Times New Roman"/>
          <w:i/>
          <w:color w:val="000000"/>
        </w:rPr>
        <w:t>Transnational Corporations</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24</w:t>
      </w:r>
      <w:r>
        <w:rPr>
          <w:rFonts w:ascii="Times New Roman" w:eastAsia="Times New Roman" w:hAnsi="Times New Roman" w:cs="Times New Roman"/>
          <w:color w:val="000000"/>
        </w:rPr>
        <w:t>(3), 49–60.</w:t>
      </w:r>
    </w:p>
    <w:p w14:paraId="3A5CE847"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222222"/>
          <w:highlight w:val="white"/>
        </w:rPr>
      </w:pPr>
      <w:proofErr w:type="spellStart"/>
      <w:r>
        <w:rPr>
          <w:rFonts w:ascii="Times New Roman" w:eastAsia="Times New Roman" w:hAnsi="Times New Roman" w:cs="Times New Roman"/>
          <w:color w:val="222222"/>
          <w:highlight w:val="white"/>
        </w:rPr>
        <w:t>Doz</w:t>
      </w:r>
      <w:proofErr w:type="spellEnd"/>
      <w:r>
        <w:rPr>
          <w:rFonts w:ascii="Times New Roman" w:eastAsia="Times New Roman" w:hAnsi="Times New Roman" w:cs="Times New Roman"/>
          <w:color w:val="222222"/>
          <w:highlight w:val="white"/>
        </w:rPr>
        <w:t>, Y. &amp; Prahalad, C. K. (1986). Controlled variety: A challenge for human resource management in the MNC. Human Resource Management, 25(1), 55–71. https://doi.org/10.1002/hrm.3930250105</w:t>
      </w:r>
    </w:p>
    <w:p w14:paraId="1947B048"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222222"/>
          <w:highlight w:val="white"/>
        </w:rPr>
        <w:t>Dyllick</w:t>
      </w:r>
      <w:proofErr w:type="spellEnd"/>
      <w:r>
        <w:rPr>
          <w:rFonts w:ascii="Times New Roman" w:eastAsia="Times New Roman" w:hAnsi="Times New Roman" w:cs="Times New Roman"/>
          <w:color w:val="222222"/>
          <w:highlight w:val="white"/>
        </w:rPr>
        <w:t>, T., &amp; Muff, K. (2016). Clarifying the meaning of sustainable business: Introducing a typology from business-as-usual to true business sustainability. </w:t>
      </w:r>
      <w:r>
        <w:rPr>
          <w:rFonts w:ascii="Times New Roman" w:eastAsia="Times New Roman" w:hAnsi="Times New Roman" w:cs="Times New Roman"/>
          <w:i/>
          <w:color w:val="222222"/>
        </w:rPr>
        <w:t>Organization &amp; Environment</w:t>
      </w:r>
      <w:r>
        <w:rPr>
          <w:rFonts w:ascii="Times New Roman" w:eastAsia="Times New Roman" w:hAnsi="Times New Roman" w:cs="Times New Roman"/>
          <w:color w:val="222222"/>
          <w:highlight w:val="white"/>
        </w:rPr>
        <w:t>, </w:t>
      </w:r>
      <w:r>
        <w:rPr>
          <w:rFonts w:ascii="Times New Roman" w:eastAsia="Times New Roman" w:hAnsi="Times New Roman" w:cs="Times New Roman"/>
          <w:i/>
          <w:color w:val="222222"/>
        </w:rPr>
        <w:t>29</w:t>
      </w:r>
      <w:r>
        <w:rPr>
          <w:rFonts w:ascii="Times New Roman" w:eastAsia="Times New Roman" w:hAnsi="Times New Roman" w:cs="Times New Roman"/>
          <w:color w:val="222222"/>
          <w:highlight w:val="white"/>
        </w:rPr>
        <w:t>(2), 156-174.</w:t>
      </w:r>
    </w:p>
    <w:p w14:paraId="6E426E61"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222222"/>
          <w:highlight w:val="white"/>
        </w:rPr>
      </w:pPr>
      <w:r>
        <w:rPr>
          <w:rFonts w:ascii="Times New Roman" w:eastAsia="Times New Roman" w:hAnsi="Times New Roman" w:cs="Times New Roman"/>
          <w:color w:val="222222"/>
          <w:highlight w:val="white"/>
        </w:rPr>
        <w:t>Eang, M., Clarke, A., &amp; Ordonez-Ponce, E. (2023). The roles of multinational enterprises in implementing the United Nations Sustainable Development Goals at the local level. </w:t>
      </w:r>
      <w:r>
        <w:rPr>
          <w:rFonts w:ascii="Times New Roman" w:eastAsia="Times New Roman" w:hAnsi="Times New Roman" w:cs="Times New Roman"/>
          <w:i/>
          <w:color w:val="222222"/>
        </w:rPr>
        <w:t>BRQ Business Research Quarterly</w:t>
      </w:r>
      <w:r>
        <w:rPr>
          <w:rFonts w:ascii="Times New Roman" w:eastAsia="Times New Roman" w:hAnsi="Times New Roman" w:cs="Times New Roman"/>
          <w:color w:val="222222"/>
          <w:highlight w:val="white"/>
        </w:rPr>
        <w:t>, </w:t>
      </w:r>
      <w:r>
        <w:rPr>
          <w:rFonts w:ascii="Times New Roman" w:eastAsia="Times New Roman" w:hAnsi="Times New Roman" w:cs="Times New Roman"/>
          <w:i/>
          <w:color w:val="222222"/>
        </w:rPr>
        <w:t>26</w:t>
      </w:r>
      <w:r>
        <w:rPr>
          <w:rFonts w:ascii="Times New Roman" w:eastAsia="Times New Roman" w:hAnsi="Times New Roman" w:cs="Times New Roman"/>
          <w:color w:val="222222"/>
          <w:highlight w:val="white"/>
        </w:rPr>
        <w:t>(1), 79-97.</w:t>
      </w:r>
    </w:p>
    <w:p w14:paraId="0591703C"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El Barachi, M., AlKhatib, M., Mathew, S., &amp; </w:t>
      </w:r>
      <w:proofErr w:type="spellStart"/>
      <w:r>
        <w:rPr>
          <w:rFonts w:ascii="Times New Roman" w:eastAsia="Times New Roman" w:hAnsi="Times New Roman" w:cs="Times New Roman"/>
          <w:color w:val="222222"/>
          <w:sz w:val="24"/>
          <w:szCs w:val="24"/>
          <w:highlight w:val="white"/>
        </w:rPr>
        <w:t>Oroumchian</w:t>
      </w:r>
      <w:proofErr w:type="spellEnd"/>
      <w:r>
        <w:rPr>
          <w:rFonts w:ascii="Times New Roman" w:eastAsia="Times New Roman" w:hAnsi="Times New Roman" w:cs="Times New Roman"/>
          <w:color w:val="222222"/>
          <w:sz w:val="24"/>
          <w:szCs w:val="24"/>
          <w:highlight w:val="white"/>
        </w:rPr>
        <w:t>, F. (2021). A novel sentiment analysis framework for monitoring the evolving public opinion in real-time: Case study on climate change. Journal of Cleaner Production, 312, 127820.</w:t>
      </w:r>
    </w:p>
    <w:p w14:paraId="378B5DFA"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222222"/>
          <w:highlight w:val="white"/>
        </w:rPr>
      </w:pPr>
      <w:r>
        <w:rPr>
          <w:rFonts w:ascii="Times New Roman" w:eastAsia="Times New Roman" w:hAnsi="Times New Roman" w:cs="Times New Roman"/>
          <w:color w:val="222222"/>
          <w:highlight w:val="white"/>
        </w:rPr>
        <w:t>Elder, M., &amp; Bartalini, A. (2019). Assessment of the G20 Countries Concrete SDG implementation Efforts: Policies and Budgets Reported in Their 2016-2018 Voluntary National Reviews. Institute for Global Environmental Strategies..</w:t>
      </w:r>
    </w:p>
    <w:p w14:paraId="78A111CA"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Estrin, S., Meyer, K. E., Nielsen, B. B., &amp; Nielsen, S. (2016). Home country institutions and the internationalization of </w:t>
      </w:r>
      <w:proofErr w:type="gramStart"/>
      <w:r>
        <w:rPr>
          <w:rFonts w:ascii="Times New Roman" w:eastAsia="Times New Roman" w:hAnsi="Times New Roman" w:cs="Times New Roman"/>
          <w:color w:val="000000"/>
        </w:rPr>
        <w:t>state owned</w:t>
      </w:r>
      <w:proofErr w:type="gramEnd"/>
      <w:r>
        <w:rPr>
          <w:rFonts w:ascii="Times New Roman" w:eastAsia="Times New Roman" w:hAnsi="Times New Roman" w:cs="Times New Roman"/>
          <w:color w:val="000000"/>
        </w:rPr>
        <w:t xml:space="preserve"> enterprises: A cross-country analysis. </w:t>
      </w:r>
      <w:r>
        <w:rPr>
          <w:rFonts w:ascii="Times New Roman" w:eastAsia="Times New Roman" w:hAnsi="Times New Roman" w:cs="Times New Roman"/>
          <w:i/>
          <w:color w:val="000000"/>
        </w:rPr>
        <w:t>Journal of World Business</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51</w:t>
      </w:r>
      <w:r>
        <w:rPr>
          <w:rFonts w:ascii="Times New Roman" w:eastAsia="Times New Roman" w:hAnsi="Times New Roman" w:cs="Times New Roman"/>
          <w:color w:val="000000"/>
        </w:rPr>
        <w:t>(2), 294–307.</w:t>
      </w:r>
      <w:hyperlink r:id="rId12">
        <w:r>
          <w:rPr>
            <w:rFonts w:ascii="Times New Roman" w:eastAsia="Times New Roman" w:hAnsi="Times New Roman" w:cs="Times New Roman"/>
            <w:color w:val="000000"/>
            <w:u w:val="single"/>
          </w:rPr>
          <w:t> </w:t>
        </w:r>
      </w:hyperlink>
    </w:p>
    <w:p w14:paraId="563467A5"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Estrin, S., Meyer, K. E., &amp; Pelletier, A. (2018). Emerging Economy MNEs: How does home country munificence matter? </w:t>
      </w:r>
      <w:r>
        <w:rPr>
          <w:rFonts w:ascii="Times New Roman" w:eastAsia="Times New Roman" w:hAnsi="Times New Roman" w:cs="Times New Roman"/>
          <w:i/>
          <w:color w:val="000000"/>
        </w:rPr>
        <w:t>Journal of World Business</w:t>
      </w:r>
      <w:r>
        <w:rPr>
          <w:rFonts w:ascii="Times New Roman" w:eastAsia="Times New Roman" w:hAnsi="Times New Roman" w:cs="Times New Roman"/>
          <w:color w:val="000000"/>
        </w:rPr>
        <w:t>, 53(4), 514–528.</w:t>
      </w:r>
    </w:p>
    <w:p w14:paraId="3379091F" w14:textId="77777777" w:rsidR="0030333D" w:rsidRDefault="00000000">
      <w:pPr>
        <w:pBdr>
          <w:top w:val="nil"/>
          <w:left w:val="nil"/>
          <w:bottom w:val="nil"/>
          <w:right w:val="nil"/>
          <w:between w:val="nil"/>
        </w:pBdr>
        <w:spacing w:before="240" w:after="240" w:line="240" w:lineRule="auto"/>
        <w:ind w:left="450" w:hanging="440"/>
        <w:jc w:val="both"/>
      </w:pPr>
      <w:r>
        <w:rPr>
          <w:rFonts w:ascii="Times New Roman" w:eastAsia="Times New Roman" w:hAnsi="Times New Roman" w:cs="Times New Roman"/>
          <w:color w:val="000000"/>
        </w:rPr>
        <w:t xml:space="preserve">European Union (EU). (2022). Corporate Sustainability Reporting Directive, CSRD. Directive (EU) 2022/2464 of the European Parliament and of the Council of 14 December 2022. Available at: </w:t>
      </w:r>
      <w:hyperlink r:id="rId13">
        <w:r>
          <w:rPr>
            <w:rFonts w:ascii="Times New Roman" w:eastAsia="Times New Roman" w:hAnsi="Times New Roman" w:cs="Times New Roman"/>
            <w:color w:val="000000"/>
          </w:rPr>
          <w:t>https://eur-lex.europa.eu/legal-content/EN/TXT/?uri=CELEX:32022L2464</w:t>
        </w:r>
      </w:hyperlink>
      <w:r>
        <w:rPr>
          <w:rFonts w:ascii="Times New Roman" w:eastAsia="Times New Roman" w:hAnsi="Times New Roman" w:cs="Times New Roman"/>
          <w:color w:val="000000"/>
        </w:rPr>
        <w:t xml:space="preserve"> </w:t>
      </w:r>
    </w:p>
    <w:p w14:paraId="455FBE7B"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sidRPr="0035353C">
        <w:rPr>
          <w:rFonts w:ascii="Times New Roman" w:eastAsia="Times New Roman" w:hAnsi="Times New Roman" w:cs="Times New Roman"/>
          <w:color w:val="000000"/>
          <w:lang w:val="de-DE"/>
        </w:rPr>
        <w:t xml:space="preserve">Fiaschi, D., Giuliani, E., &amp; Nieri, F. (2017). </w:t>
      </w:r>
      <w:r>
        <w:rPr>
          <w:rFonts w:ascii="Times New Roman" w:eastAsia="Times New Roman" w:hAnsi="Times New Roman" w:cs="Times New Roman"/>
          <w:color w:val="000000"/>
        </w:rPr>
        <w:t xml:space="preserve">Overcoming the liability of origin by doing no-harm: Emerging country firms’ social irresponsibility as they go global. </w:t>
      </w:r>
      <w:r>
        <w:rPr>
          <w:rFonts w:ascii="Times New Roman" w:eastAsia="Times New Roman" w:hAnsi="Times New Roman" w:cs="Times New Roman"/>
          <w:i/>
          <w:color w:val="000000"/>
        </w:rPr>
        <w:t>Journal of World Business</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52</w:t>
      </w:r>
      <w:r>
        <w:rPr>
          <w:rFonts w:ascii="Times New Roman" w:eastAsia="Times New Roman" w:hAnsi="Times New Roman" w:cs="Times New Roman"/>
          <w:color w:val="000000"/>
        </w:rPr>
        <w:t>(4), 546–563.</w:t>
      </w:r>
    </w:p>
    <w:p w14:paraId="051B54D2"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rPr>
        <w:t>Gaffuri</w:t>
      </w:r>
      <w:proofErr w:type="spellEnd"/>
      <w:r>
        <w:rPr>
          <w:rFonts w:ascii="Times New Roman" w:eastAsia="Times New Roman" w:hAnsi="Times New Roman" w:cs="Times New Roman"/>
          <w:color w:val="000000"/>
        </w:rPr>
        <w:t xml:space="preserve">, J. (2020). The Sustainability Yearbook 2020. </w:t>
      </w:r>
      <w:proofErr w:type="spellStart"/>
      <w:r>
        <w:rPr>
          <w:rFonts w:ascii="Times New Roman" w:eastAsia="Times New Roman" w:hAnsi="Times New Roman" w:cs="Times New Roman"/>
          <w:color w:val="000000"/>
        </w:rPr>
        <w:t>RobecoSAM</w:t>
      </w:r>
      <w:proofErr w:type="spellEnd"/>
      <w:r>
        <w:rPr>
          <w:rFonts w:ascii="Times New Roman" w:eastAsia="Times New Roman" w:hAnsi="Times New Roman" w:cs="Times New Roman"/>
          <w:color w:val="000000"/>
        </w:rPr>
        <w:t>, S&amp;P Global</w:t>
      </w:r>
    </w:p>
    <w:p w14:paraId="0491B17E" w14:textId="77777777" w:rsidR="0030333D" w:rsidRDefault="00000000">
      <w:pPr>
        <w:pBdr>
          <w:top w:val="nil"/>
          <w:left w:val="nil"/>
          <w:bottom w:val="nil"/>
          <w:right w:val="nil"/>
          <w:between w:val="nil"/>
        </w:pBdr>
        <w:spacing w:before="240" w:after="240" w:line="240" w:lineRule="auto"/>
        <w:ind w:left="450"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Ghemawat, P. (2001). Distance still matters–the hard reality of global expansion", </w:t>
      </w:r>
      <w:r>
        <w:rPr>
          <w:rFonts w:ascii="Times New Roman" w:eastAsia="Times New Roman" w:hAnsi="Times New Roman" w:cs="Times New Roman"/>
          <w:i/>
          <w:color w:val="000000"/>
        </w:rPr>
        <w:t>Harvard Business Review</w:t>
      </w:r>
      <w:r>
        <w:rPr>
          <w:rFonts w:ascii="Times New Roman" w:eastAsia="Times New Roman" w:hAnsi="Times New Roman" w:cs="Times New Roman"/>
          <w:color w:val="000000"/>
        </w:rPr>
        <w:t>, September, p. 137.</w:t>
      </w:r>
    </w:p>
    <w:p w14:paraId="6452E0E6"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lastRenderedPageBreak/>
        <w:t xml:space="preserve">Ghoul, S. E., </w:t>
      </w:r>
      <w:proofErr w:type="spellStart"/>
      <w:r>
        <w:rPr>
          <w:rFonts w:ascii="Times New Roman" w:eastAsia="Times New Roman" w:hAnsi="Times New Roman" w:cs="Times New Roman"/>
          <w:color w:val="000000"/>
        </w:rPr>
        <w:t>Guedhami</w:t>
      </w:r>
      <w:proofErr w:type="spellEnd"/>
      <w:r>
        <w:rPr>
          <w:rFonts w:ascii="Times New Roman" w:eastAsia="Times New Roman" w:hAnsi="Times New Roman" w:cs="Times New Roman"/>
          <w:color w:val="000000"/>
        </w:rPr>
        <w:t xml:space="preserve">, O., &amp; Kim, Y. (2017). Country-level institutions, firm value, and the role of corporate social responsibility initiatives. </w:t>
      </w:r>
      <w:r>
        <w:rPr>
          <w:rFonts w:ascii="Times New Roman" w:eastAsia="Times New Roman" w:hAnsi="Times New Roman" w:cs="Times New Roman"/>
          <w:i/>
          <w:color w:val="000000"/>
        </w:rPr>
        <w:t>Journal of International Business Studies</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48</w:t>
      </w:r>
      <w:r>
        <w:rPr>
          <w:rFonts w:ascii="Times New Roman" w:eastAsia="Times New Roman" w:hAnsi="Times New Roman" w:cs="Times New Roman"/>
          <w:color w:val="000000"/>
        </w:rPr>
        <w:t>(3), 360–385.</w:t>
      </w:r>
      <w:hyperlink r:id="rId14">
        <w:r>
          <w:rPr>
            <w:rFonts w:ascii="Times New Roman" w:eastAsia="Times New Roman" w:hAnsi="Times New Roman" w:cs="Times New Roman"/>
            <w:color w:val="000000"/>
            <w:u w:val="single"/>
          </w:rPr>
          <w:t> </w:t>
        </w:r>
      </w:hyperlink>
    </w:p>
    <w:p w14:paraId="5A8AC540"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Gray, R., </w:t>
      </w:r>
      <w:proofErr w:type="spellStart"/>
      <w:r>
        <w:rPr>
          <w:rFonts w:ascii="Times New Roman" w:eastAsia="Times New Roman" w:hAnsi="Times New Roman" w:cs="Times New Roman"/>
          <w:color w:val="000000"/>
        </w:rPr>
        <w:t>Herremans</w:t>
      </w:r>
      <w:proofErr w:type="spellEnd"/>
      <w:r>
        <w:rPr>
          <w:rFonts w:ascii="Times New Roman" w:eastAsia="Times New Roman" w:hAnsi="Times New Roman" w:cs="Times New Roman"/>
          <w:color w:val="000000"/>
        </w:rPr>
        <w:t>, I.M., (2012). Sustainability and social responsibility reporting and the emergence of the external social audits: the struggle for accountability? In: Bansal, P., Hoffman, A.J. (Eds.), The Oxford Handbook of Business and the Natural Environment. Oxford University Press, UK, pp. 405-424.</w:t>
      </w:r>
    </w:p>
    <w:p w14:paraId="18BDFF18"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sz w:val="24"/>
          <w:szCs w:val="24"/>
        </w:rPr>
      </w:pPr>
      <w:r>
        <w:rPr>
          <w:rFonts w:ascii="Times New Roman" w:eastAsia="Times New Roman" w:hAnsi="Times New Roman" w:cs="Times New Roman"/>
          <w:color w:val="000000"/>
        </w:rPr>
        <w:t xml:space="preserve">GRI, UNGC, &amp; WBCSD (2015); SDG Compass: The guide for business action on the SDGs. New York. Available at </w:t>
      </w:r>
      <w:hyperlink r:id="rId15">
        <w:r>
          <w:rPr>
            <w:rFonts w:ascii="Times New Roman" w:eastAsia="Times New Roman" w:hAnsi="Times New Roman" w:cs="Times New Roman"/>
            <w:color w:val="1155CC"/>
            <w:u w:val="single"/>
          </w:rPr>
          <w:t>https://sdgcompass.org/wp-content/uploads/2016/05/</w:t>
        </w:r>
      </w:hyperlink>
    </w:p>
    <w:p w14:paraId="4BF00333"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highlight w:val="white"/>
        </w:rPr>
        <w:t xml:space="preserve">Hahn, R., &amp; </w:t>
      </w:r>
      <w:proofErr w:type="spellStart"/>
      <w:r>
        <w:rPr>
          <w:rFonts w:ascii="Times New Roman" w:eastAsia="Times New Roman" w:hAnsi="Times New Roman" w:cs="Times New Roman"/>
          <w:color w:val="222222"/>
          <w:sz w:val="24"/>
          <w:szCs w:val="24"/>
          <w:highlight w:val="white"/>
        </w:rPr>
        <w:t>Kühnen</w:t>
      </w:r>
      <w:proofErr w:type="spellEnd"/>
      <w:r>
        <w:rPr>
          <w:rFonts w:ascii="Times New Roman" w:eastAsia="Times New Roman" w:hAnsi="Times New Roman" w:cs="Times New Roman"/>
          <w:color w:val="222222"/>
          <w:sz w:val="24"/>
          <w:szCs w:val="24"/>
          <w:highlight w:val="white"/>
        </w:rPr>
        <w:t xml:space="preserve">, M. (2013). Determinants of sustainability reporting: A review of results, trends, theory, and opportunities in an expanding field of research. </w:t>
      </w:r>
      <w:r>
        <w:rPr>
          <w:rFonts w:ascii="Times New Roman" w:eastAsia="Times New Roman" w:hAnsi="Times New Roman" w:cs="Times New Roman"/>
          <w:i/>
          <w:color w:val="222222"/>
          <w:sz w:val="24"/>
          <w:szCs w:val="24"/>
        </w:rPr>
        <w:t>Journal of Cleaner Production</w:t>
      </w:r>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rPr>
        <w:t>59</w:t>
      </w:r>
      <w:r>
        <w:rPr>
          <w:rFonts w:ascii="Times New Roman" w:eastAsia="Times New Roman" w:hAnsi="Times New Roman" w:cs="Times New Roman"/>
          <w:color w:val="222222"/>
          <w:sz w:val="24"/>
          <w:szCs w:val="24"/>
          <w:highlight w:val="white"/>
        </w:rPr>
        <w:t>, 5-21.</w:t>
      </w:r>
    </w:p>
    <w:p w14:paraId="51B7A04E"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Hansmann, H., &amp; </w:t>
      </w:r>
      <w:proofErr w:type="spellStart"/>
      <w:r>
        <w:rPr>
          <w:rFonts w:ascii="Times New Roman" w:eastAsia="Times New Roman" w:hAnsi="Times New Roman" w:cs="Times New Roman"/>
          <w:color w:val="000000"/>
        </w:rPr>
        <w:t>Kraakman</w:t>
      </w:r>
      <w:proofErr w:type="spellEnd"/>
      <w:r>
        <w:rPr>
          <w:rFonts w:ascii="Times New Roman" w:eastAsia="Times New Roman" w:hAnsi="Times New Roman" w:cs="Times New Roman"/>
          <w:color w:val="000000"/>
        </w:rPr>
        <w:t>, R. (2000). End of History for Corporate Law. Georgetown Law Journal, 89, 439–468.</w:t>
      </w:r>
    </w:p>
    <w:p w14:paraId="0C8DB5F1"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222222"/>
          <w:highlight w:val="white"/>
        </w:rPr>
        <w:t>Haunschild, P. R., &amp; Miner, A. S. (1997). Modes of interorganizational imitation: The effects of outcome salience and uncertainty. </w:t>
      </w:r>
      <w:r>
        <w:rPr>
          <w:rFonts w:ascii="Times New Roman" w:eastAsia="Times New Roman" w:hAnsi="Times New Roman" w:cs="Times New Roman"/>
          <w:i/>
          <w:color w:val="222222"/>
        </w:rPr>
        <w:t>Administrative science quarterly</w:t>
      </w:r>
      <w:r>
        <w:rPr>
          <w:rFonts w:ascii="Times New Roman" w:eastAsia="Times New Roman" w:hAnsi="Times New Roman" w:cs="Times New Roman"/>
          <w:color w:val="222222"/>
          <w:highlight w:val="white"/>
        </w:rPr>
        <w:t>, 472-500.</w:t>
      </w:r>
    </w:p>
    <w:p w14:paraId="33899DB7"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222222"/>
          <w:highlight w:val="white"/>
        </w:rPr>
        <w:t xml:space="preserve">Hawn, O., Chatterji, A. K., &amp; Mitchell, W. (2018). Do investors </w:t>
      </w:r>
      <w:proofErr w:type="gramStart"/>
      <w:r>
        <w:rPr>
          <w:rFonts w:ascii="Times New Roman" w:eastAsia="Times New Roman" w:hAnsi="Times New Roman" w:cs="Times New Roman"/>
          <w:color w:val="222222"/>
          <w:highlight w:val="white"/>
        </w:rPr>
        <w:t>actually value</w:t>
      </w:r>
      <w:proofErr w:type="gramEnd"/>
      <w:r>
        <w:rPr>
          <w:rFonts w:ascii="Times New Roman" w:eastAsia="Times New Roman" w:hAnsi="Times New Roman" w:cs="Times New Roman"/>
          <w:color w:val="222222"/>
          <w:highlight w:val="white"/>
        </w:rPr>
        <w:t xml:space="preserve"> sustainability? New evidence from investor reactions to the Dow Jones Sustainability Index (DJSI).</w:t>
      </w:r>
      <w:r>
        <w:rPr>
          <w:rFonts w:ascii="Times New Roman" w:eastAsia="Times New Roman" w:hAnsi="Times New Roman" w:cs="Times New Roman"/>
          <w:color w:val="000000"/>
        </w:rPr>
        <w:t> </w:t>
      </w:r>
      <w:r>
        <w:rPr>
          <w:rFonts w:ascii="Times New Roman" w:eastAsia="Times New Roman" w:hAnsi="Times New Roman" w:cs="Times New Roman"/>
          <w:color w:val="222222"/>
          <w:highlight w:val="white"/>
        </w:rPr>
        <w:t>Strategic Management Journal,</w:t>
      </w:r>
      <w:r>
        <w:rPr>
          <w:rFonts w:ascii="Times New Roman" w:eastAsia="Times New Roman" w:hAnsi="Times New Roman" w:cs="Times New Roman"/>
          <w:color w:val="000000"/>
        </w:rPr>
        <w:t> </w:t>
      </w:r>
      <w:r>
        <w:rPr>
          <w:rFonts w:ascii="Times New Roman" w:eastAsia="Times New Roman" w:hAnsi="Times New Roman" w:cs="Times New Roman"/>
          <w:color w:val="222222"/>
          <w:highlight w:val="white"/>
        </w:rPr>
        <w:t>39(4), 949-976.</w:t>
      </w:r>
    </w:p>
    <w:p w14:paraId="4174540A"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Helmig, B., Spraul, K., &amp; </w:t>
      </w:r>
      <w:proofErr w:type="spellStart"/>
      <w:r>
        <w:rPr>
          <w:rFonts w:ascii="Times New Roman" w:eastAsia="Times New Roman" w:hAnsi="Times New Roman" w:cs="Times New Roman"/>
          <w:color w:val="000000"/>
        </w:rPr>
        <w:t>Ingenhoff</w:t>
      </w:r>
      <w:proofErr w:type="spellEnd"/>
      <w:r>
        <w:rPr>
          <w:rFonts w:ascii="Times New Roman" w:eastAsia="Times New Roman" w:hAnsi="Times New Roman" w:cs="Times New Roman"/>
          <w:color w:val="000000"/>
        </w:rPr>
        <w:t xml:space="preserve">, D. (2016). Under positive pressure: How stakeholder pressure affects corporate social responsibility implementation. </w:t>
      </w:r>
      <w:r>
        <w:rPr>
          <w:rFonts w:ascii="Times New Roman" w:eastAsia="Times New Roman" w:hAnsi="Times New Roman" w:cs="Times New Roman"/>
          <w:i/>
          <w:color w:val="000000"/>
        </w:rPr>
        <w:t>Business &amp; Society</w:t>
      </w:r>
      <w:r>
        <w:rPr>
          <w:rFonts w:ascii="Times New Roman" w:eastAsia="Times New Roman" w:hAnsi="Times New Roman" w:cs="Times New Roman"/>
          <w:color w:val="000000"/>
        </w:rPr>
        <w:t>, 55(2), 151-187.</w:t>
      </w:r>
    </w:p>
    <w:p w14:paraId="26C8E651"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color w:val="000000"/>
        </w:rPr>
        <w:t>Henisz</w:t>
      </w:r>
      <w:proofErr w:type="spellEnd"/>
      <w:r>
        <w:rPr>
          <w:rFonts w:ascii="Times New Roman" w:eastAsia="Times New Roman" w:hAnsi="Times New Roman" w:cs="Times New Roman"/>
          <w:color w:val="000000"/>
        </w:rPr>
        <w:t xml:space="preserve">, W. J. (2000). The Institutional Environment for Economic Growth. </w:t>
      </w:r>
      <w:r>
        <w:rPr>
          <w:rFonts w:ascii="Times New Roman" w:eastAsia="Times New Roman" w:hAnsi="Times New Roman" w:cs="Times New Roman"/>
          <w:i/>
          <w:color w:val="000000"/>
        </w:rPr>
        <w:t>Economics &amp; Politics</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12</w:t>
      </w:r>
      <w:r>
        <w:rPr>
          <w:rFonts w:ascii="Times New Roman" w:eastAsia="Times New Roman" w:hAnsi="Times New Roman" w:cs="Times New Roman"/>
          <w:color w:val="000000"/>
        </w:rPr>
        <w:t>(1), 1–31.</w:t>
      </w:r>
      <w:hyperlink r:id="rId16">
        <w:r>
          <w:rPr>
            <w:rFonts w:ascii="Times New Roman" w:eastAsia="Times New Roman" w:hAnsi="Times New Roman" w:cs="Times New Roman"/>
            <w:color w:val="000000"/>
            <w:u w:val="single"/>
          </w:rPr>
          <w:t> </w:t>
        </w:r>
      </w:hyperlink>
    </w:p>
    <w:p w14:paraId="04386D5F"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rPr>
      </w:pPr>
      <w:r>
        <w:rPr>
          <w:rFonts w:ascii="Times New Roman" w:eastAsia="Times New Roman" w:hAnsi="Times New Roman" w:cs="Times New Roman"/>
          <w:color w:val="000000"/>
        </w:rPr>
        <w:t>Husted, B. W., &amp; Allen, D. B. (2006). Corporate social responsibility in the multinational enterprise: Strategic and institutional approaches. Journal of International Business Studies, 37, 838-849.</w:t>
      </w:r>
    </w:p>
    <w:p w14:paraId="03C894FB"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Jensen, J. C., &amp; Berg, N. (2012). Determinants of traditional sustainability reporting versus integrated reporting. An institutionalist approach. Business Strategy and the Environment, 21(5), 299-316.</w:t>
      </w:r>
    </w:p>
    <w:p w14:paraId="41080EE4"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Kang, M.-P., Mahoney, J. T., &amp; Tan, D. (2009). Why firms make unilateral investments specific to other firms: The case of OEM suppliers. </w:t>
      </w:r>
      <w:r>
        <w:rPr>
          <w:rFonts w:ascii="Times New Roman" w:eastAsia="Times New Roman" w:hAnsi="Times New Roman" w:cs="Times New Roman"/>
          <w:i/>
          <w:color w:val="000000"/>
        </w:rPr>
        <w:t xml:space="preserve">Strategic Management Journal, </w:t>
      </w:r>
      <w:r>
        <w:rPr>
          <w:rFonts w:ascii="Times New Roman" w:eastAsia="Times New Roman" w:hAnsi="Times New Roman" w:cs="Times New Roman"/>
          <w:color w:val="000000"/>
        </w:rPr>
        <w:t>30(2), 117–135.</w:t>
      </w:r>
    </w:p>
    <w:p w14:paraId="6D301306"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Kim, H., Park, K., &amp; Ryu, D. (2017). Corporate Environmental Responsibility: A Legal Origins Perspective. </w:t>
      </w:r>
      <w:r>
        <w:rPr>
          <w:rFonts w:ascii="Times New Roman" w:eastAsia="Times New Roman" w:hAnsi="Times New Roman" w:cs="Times New Roman"/>
          <w:i/>
          <w:color w:val="000000"/>
        </w:rPr>
        <w:t>Journal of Business Ethics</w:t>
      </w:r>
      <w:r>
        <w:rPr>
          <w:rFonts w:ascii="Times New Roman" w:eastAsia="Times New Roman" w:hAnsi="Times New Roman" w:cs="Times New Roman"/>
          <w:color w:val="000000"/>
        </w:rPr>
        <w:t>, 140(3), 381–402.</w:t>
      </w:r>
    </w:p>
    <w:p w14:paraId="6856B0FB"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rPr>
        <w:t>Kinderytė</w:t>
      </w:r>
      <w:proofErr w:type="spellEnd"/>
      <w:r>
        <w:rPr>
          <w:rFonts w:ascii="Times New Roman" w:eastAsia="Times New Roman" w:hAnsi="Times New Roman" w:cs="Times New Roman"/>
          <w:color w:val="000000"/>
        </w:rPr>
        <w:t xml:space="preserve">, L. (2008). Analysis and Comparison of Methodologies for Corporate Sustainability Assessment. </w:t>
      </w:r>
      <w:r>
        <w:rPr>
          <w:rFonts w:ascii="Times New Roman" w:eastAsia="Times New Roman" w:hAnsi="Times New Roman" w:cs="Times New Roman"/>
          <w:i/>
          <w:color w:val="000000"/>
        </w:rPr>
        <w:t>Environmental Research, Engineering &amp; Management</w:t>
      </w:r>
      <w:r>
        <w:rPr>
          <w:rFonts w:ascii="Times New Roman" w:eastAsia="Times New Roman" w:hAnsi="Times New Roman" w:cs="Times New Roman"/>
          <w:color w:val="000000"/>
        </w:rPr>
        <w:t>, 46(4), 66-75.</w:t>
      </w:r>
    </w:p>
    <w:p w14:paraId="60D08B49"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Kolk, A. (2016). The social responsibility of international business: From ethics and the environment to CSR and sustainable development. </w:t>
      </w:r>
      <w:r>
        <w:rPr>
          <w:rFonts w:ascii="Times New Roman" w:eastAsia="Times New Roman" w:hAnsi="Times New Roman" w:cs="Times New Roman"/>
          <w:i/>
          <w:color w:val="000000"/>
        </w:rPr>
        <w:t>Journal of World Business</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51</w:t>
      </w:r>
      <w:r>
        <w:rPr>
          <w:rFonts w:ascii="Times New Roman" w:eastAsia="Times New Roman" w:hAnsi="Times New Roman" w:cs="Times New Roman"/>
          <w:color w:val="000000"/>
        </w:rPr>
        <w:t>, 23–34.</w:t>
      </w:r>
      <w:hyperlink r:id="rId17">
        <w:r>
          <w:rPr>
            <w:rFonts w:ascii="Times New Roman" w:eastAsia="Times New Roman" w:hAnsi="Times New Roman" w:cs="Times New Roman"/>
            <w:color w:val="000000"/>
            <w:u w:val="single"/>
          </w:rPr>
          <w:t> </w:t>
        </w:r>
      </w:hyperlink>
    </w:p>
    <w:p w14:paraId="3B7C6442"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Kolk, A., </w:t>
      </w:r>
      <w:proofErr w:type="spellStart"/>
      <w:r>
        <w:rPr>
          <w:rFonts w:ascii="Times New Roman" w:eastAsia="Times New Roman" w:hAnsi="Times New Roman" w:cs="Times New Roman"/>
          <w:color w:val="000000"/>
        </w:rPr>
        <w:t>Kourula</w:t>
      </w:r>
      <w:proofErr w:type="spellEnd"/>
      <w:r>
        <w:rPr>
          <w:rFonts w:ascii="Times New Roman" w:eastAsia="Times New Roman" w:hAnsi="Times New Roman" w:cs="Times New Roman"/>
          <w:color w:val="000000"/>
        </w:rPr>
        <w:t xml:space="preserve">, A., &amp; Pisani, N. (2017). Multinational enterprises and the Sustainable Development Goals: What do we know and how to proceed? </w:t>
      </w:r>
      <w:r>
        <w:rPr>
          <w:rFonts w:ascii="Times New Roman" w:eastAsia="Times New Roman" w:hAnsi="Times New Roman" w:cs="Times New Roman"/>
          <w:i/>
          <w:color w:val="000000"/>
        </w:rPr>
        <w:t>Transnational Corporations</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24</w:t>
      </w:r>
      <w:r>
        <w:rPr>
          <w:rFonts w:ascii="Times New Roman" w:eastAsia="Times New Roman" w:hAnsi="Times New Roman" w:cs="Times New Roman"/>
          <w:color w:val="000000"/>
        </w:rPr>
        <w:t>(3), 9–32.</w:t>
      </w:r>
    </w:p>
    <w:p w14:paraId="2E1F11AB"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lastRenderedPageBreak/>
        <w:t xml:space="preserve">Kostova, T., Roth, K., &amp; Dacin, M. T. (2009). Theorizing on MNCs: A Promise for Institutional Theory. </w:t>
      </w:r>
      <w:r>
        <w:rPr>
          <w:rFonts w:ascii="Times New Roman" w:eastAsia="Times New Roman" w:hAnsi="Times New Roman" w:cs="Times New Roman"/>
          <w:i/>
          <w:color w:val="000000"/>
        </w:rPr>
        <w:t>Academy of Management Review</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34</w:t>
      </w:r>
      <w:r>
        <w:rPr>
          <w:rFonts w:ascii="Times New Roman" w:eastAsia="Times New Roman" w:hAnsi="Times New Roman" w:cs="Times New Roman"/>
          <w:color w:val="000000"/>
        </w:rPr>
        <w:t>(1), 171–173.</w:t>
      </w:r>
      <w:hyperlink r:id="rId18">
        <w:r>
          <w:rPr>
            <w:rFonts w:ascii="Times New Roman" w:eastAsia="Times New Roman" w:hAnsi="Times New Roman" w:cs="Times New Roman"/>
            <w:color w:val="000000"/>
            <w:u w:val="single"/>
          </w:rPr>
          <w:t> </w:t>
        </w:r>
      </w:hyperlink>
    </w:p>
    <w:p w14:paraId="78F590DA"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Kostova, T., &amp; Zaheer, S. (1999). Organizational Legitimacy Under Conditions of Complexity: The Case of the Multinational Enterprise. </w:t>
      </w:r>
      <w:r>
        <w:rPr>
          <w:rFonts w:ascii="Times New Roman" w:eastAsia="Times New Roman" w:hAnsi="Times New Roman" w:cs="Times New Roman"/>
          <w:i/>
          <w:color w:val="000000"/>
        </w:rPr>
        <w:t>Academy of Management Review</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24</w:t>
      </w:r>
      <w:r>
        <w:rPr>
          <w:rFonts w:ascii="Times New Roman" w:eastAsia="Times New Roman" w:hAnsi="Times New Roman" w:cs="Times New Roman"/>
          <w:color w:val="000000"/>
        </w:rPr>
        <w:t>(1), 64–81.</w:t>
      </w:r>
    </w:p>
    <w:p w14:paraId="7FC30330"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La Porta, R., Lopez‐de‐Silanes, F., Shleifer, A., &amp; </w:t>
      </w:r>
      <w:proofErr w:type="spellStart"/>
      <w:r>
        <w:rPr>
          <w:rFonts w:ascii="Times New Roman" w:eastAsia="Times New Roman" w:hAnsi="Times New Roman" w:cs="Times New Roman"/>
          <w:color w:val="000000"/>
        </w:rPr>
        <w:t>Vishny</w:t>
      </w:r>
      <w:proofErr w:type="spellEnd"/>
      <w:r>
        <w:rPr>
          <w:rFonts w:ascii="Times New Roman" w:eastAsia="Times New Roman" w:hAnsi="Times New Roman" w:cs="Times New Roman"/>
          <w:color w:val="000000"/>
        </w:rPr>
        <w:t xml:space="preserve">, R. W. (1998). Law and Finance. </w:t>
      </w:r>
      <w:r>
        <w:rPr>
          <w:rFonts w:ascii="Times New Roman" w:eastAsia="Times New Roman" w:hAnsi="Times New Roman" w:cs="Times New Roman"/>
          <w:i/>
          <w:color w:val="000000"/>
        </w:rPr>
        <w:t>Journal of Political Economy</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106</w:t>
      </w:r>
      <w:r>
        <w:rPr>
          <w:rFonts w:ascii="Times New Roman" w:eastAsia="Times New Roman" w:hAnsi="Times New Roman" w:cs="Times New Roman"/>
          <w:color w:val="000000"/>
        </w:rPr>
        <w:t>(6), 1113–1155.</w:t>
      </w:r>
    </w:p>
    <w:p w14:paraId="775E3C59"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La Porta, R., Lopez-de-Silanes, F., Shleifer, A., &amp; </w:t>
      </w:r>
      <w:proofErr w:type="spellStart"/>
      <w:r>
        <w:rPr>
          <w:rFonts w:ascii="Times New Roman" w:eastAsia="Times New Roman" w:hAnsi="Times New Roman" w:cs="Times New Roman"/>
          <w:color w:val="000000"/>
        </w:rPr>
        <w:t>Vishny</w:t>
      </w:r>
      <w:proofErr w:type="spellEnd"/>
      <w:r>
        <w:rPr>
          <w:rFonts w:ascii="Times New Roman" w:eastAsia="Times New Roman" w:hAnsi="Times New Roman" w:cs="Times New Roman"/>
          <w:color w:val="000000"/>
        </w:rPr>
        <w:t>, R. (1999). The quality of government. Journal of Law Economics and Organization, 15, 222–279.</w:t>
      </w:r>
    </w:p>
    <w:p w14:paraId="753E2288"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Lavin, M. J. (2019). Analyzing Documents with TF-IDF. </w:t>
      </w:r>
      <w:r>
        <w:rPr>
          <w:rFonts w:ascii="Times New Roman" w:eastAsia="Times New Roman" w:hAnsi="Times New Roman" w:cs="Times New Roman"/>
          <w:i/>
          <w:color w:val="000000"/>
        </w:rPr>
        <w:t>The Programming Historian</w:t>
      </w:r>
      <w:r>
        <w:rPr>
          <w:rFonts w:ascii="Times New Roman" w:eastAsia="Times New Roman" w:hAnsi="Times New Roman" w:cs="Times New Roman"/>
          <w:color w:val="000000"/>
        </w:rPr>
        <w:t xml:space="preserve">, 8. </w:t>
      </w:r>
      <w:hyperlink r:id="rId19">
        <w:r>
          <w:rPr>
            <w:rFonts w:ascii="Times New Roman" w:eastAsia="Times New Roman" w:hAnsi="Times New Roman" w:cs="Times New Roman"/>
            <w:color w:val="1155CC"/>
            <w:u w:val="single"/>
          </w:rPr>
          <w:t>https://doi.org/10.46430/phen0082</w:t>
        </w:r>
      </w:hyperlink>
      <w:r>
        <w:rPr>
          <w:rFonts w:ascii="Times New Roman" w:eastAsia="Times New Roman" w:hAnsi="Times New Roman" w:cs="Times New Roman"/>
          <w:color w:val="000000"/>
        </w:rPr>
        <w:t> </w:t>
      </w:r>
    </w:p>
    <w:p w14:paraId="6BBFB384"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rPr>
        <w:t>Lepoutre</w:t>
      </w:r>
      <w:proofErr w:type="spellEnd"/>
      <w:r>
        <w:rPr>
          <w:rFonts w:ascii="Times New Roman" w:eastAsia="Times New Roman" w:hAnsi="Times New Roman" w:cs="Times New Roman"/>
          <w:color w:val="000000"/>
        </w:rPr>
        <w:t xml:space="preserve">, J., </w:t>
      </w:r>
      <w:proofErr w:type="spellStart"/>
      <w:r>
        <w:rPr>
          <w:rFonts w:ascii="Times New Roman" w:eastAsia="Times New Roman" w:hAnsi="Times New Roman" w:cs="Times New Roman"/>
          <w:color w:val="000000"/>
        </w:rPr>
        <w:t>Dentchev</w:t>
      </w:r>
      <w:proofErr w:type="spellEnd"/>
      <w:r>
        <w:rPr>
          <w:rFonts w:ascii="Times New Roman" w:eastAsia="Times New Roman" w:hAnsi="Times New Roman" w:cs="Times New Roman"/>
          <w:color w:val="000000"/>
        </w:rPr>
        <w:t>, N. A., &amp; Heene, A. (2007). Dealing with uncertainties when governing CSR policies. </w:t>
      </w:r>
      <w:r>
        <w:rPr>
          <w:rFonts w:ascii="Times New Roman" w:eastAsia="Times New Roman" w:hAnsi="Times New Roman" w:cs="Times New Roman"/>
          <w:i/>
          <w:color w:val="000000"/>
        </w:rPr>
        <w:t>Journal of Business Ethics</w:t>
      </w:r>
      <w:r>
        <w:rPr>
          <w:rFonts w:ascii="Times New Roman" w:eastAsia="Times New Roman" w:hAnsi="Times New Roman" w:cs="Times New Roman"/>
          <w:color w:val="000000"/>
        </w:rPr>
        <w:t>, 73, 391-408.</w:t>
      </w:r>
    </w:p>
    <w:p w14:paraId="3456AF63"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Leyva-de la Hiz, D. I., Hurtado-Torres, N., &amp; Bermúdez-Edo, M. (2019). The Heterogeneity of Levels of Green Innovation by Firms in International Contexts: A Study Based on the Home-Country Institutional Profile. </w:t>
      </w:r>
      <w:r>
        <w:rPr>
          <w:rFonts w:ascii="Times New Roman" w:eastAsia="Times New Roman" w:hAnsi="Times New Roman" w:cs="Times New Roman"/>
          <w:i/>
          <w:color w:val="000000"/>
        </w:rPr>
        <w:t>Organization &amp; Environment</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32</w:t>
      </w:r>
      <w:r>
        <w:rPr>
          <w:rFonts w:ascii="Times New Roman" w:eastAsia="Times New Roman" w:hAnsi="Times New Roman" w:cs="Times New Roman"/>
          <w:color w:val="000000"/>
        </w:rPr>
        <w:t>(4), 508–527.</w:t>
      </w:r>
      <w:hyperlink r:id="rId20">
        <w:r>
          <w:rPr>
            <w:rFonts w:ascii="Times New Roman" w:eastAsia="Times New Roman" w:hAnsi="Times New Roman" w:cs="Times New Roman"/>
            <w:color w:val="000000"/>
            <w:u w:val="single"/>
          </w:rPr>
          <w:t> </w:t>
        </w:r>
      </w:hyperlink>
    </w:p>
    <w:p w14:paraId="7C933A1C"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u w:val="single"/>
        </w:rPr>
      </w:pPr>
      <w:r>
        <w:rPr>
          <w:rFonts w:ascii="Times New Roman" w:eastAsia="Times New Roman" w:hAnsi="Times New Roman" w:cs="Times New Roman"/>
          <w:color w:val="000000"/>
        </w:rPr>
        <w:t xml:space="preserve">Li, J., &amp; Yue, D. R. (2008). Market Size, Legal Institutions, and International Diversification Strategies: Implications for the Performance of Multinational Firms. </w:t>
      </w:r>
      <w:r>
        <w:rPr>
          <w:rFonts w:ascii="Times New Roman" w:eastAsia="Times New Roman" w:hAnsi="Times New Roman" w:cs="Times New Roman"/>
          <w:i/>
          <w:color w:val="000000"/>
        </w:rPr>
        <w:t>Management International Review</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48</w:t>
      </w:r>
      <w:r>
        <w:rPr>
          <w:rFonts w:ascii="Times New Roman" w:eastAsia="Times New Roman" w:hAnsi="Times New Roman" w:cs="Times New Roman"/>
          <w:color w:val="000000"/>
        </w:rPr>
        <w:t>(6), 667–688.</w:t>
      </w:r>
      <w:hyperlink r:id="rId21">
        <w:r>
          <w:rPr>
            <w:rFonts w:ascii="Times New Roman" w:eastAsia="Times New Roman" w:hAnsi="Times New Roman" w:cs="Times New Roman"/>
            <w:color w:val="000000"/>
            <w:u w:val="single"/>
          </w:rPr>
          <w:t> </w:t>
        </w:r>
      </w:hyperlink>
    </w:p>
    <w:p w14:paraId="37293983"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Liou, R.-S., &amp; Rao-Nicholson, R. (2021). Multinational enterprises and Sustainable Development Goals: A foreign subsidiary perspective on tackling wicked problems. </w:t>
      </w:r>
      <w:r>
        <w:rPr>
          <w:rFonts w:ascii="Times New Roman" w:eastAsia="Times New Roman" w:hAnsi="Times New Roman" w:cs="Times New Roman"/>
          <w:i/>
          <w:color w:val="000000"/>
        </w:rPr>
        <w:t>Journal of International Business Policy</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4</w:t>
      </w:r>
      <w:r>
        <w:rPr>
          <w:rFonts w:ascii="Times New Roman" w:eastAsia="Times New Roman" w:hAnsi="Times New Roman" w:cs="Times New Roman"/>
          <w:color w:val="000000"/>
        </w:rPr>
        <w:t>(1), 136–151.</w:t>
      </w:r>
      <w:hyperlink r:id="rId22">
        <w:r>
          <w:rPr>
            <w:rFonts w:ascii="Times New Roman" w:eastAsia="Times New Roman" w:hAnsi="Times New Roman" w:cs="Times New Roman"/>
            <w:color w:val="000000"/>
            <w:u w:val="single"/>
          </w:rPr>
          <w:t> </w:t>
        </w:r>
      </w:hyperlink>
    </w:p>
    <w:p w14:paraId="43901B73"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Luo, Y., &amp; Tung, R. L. (2007). International expansion of emerging market enterprises: A springboard perspective. </w:t>
      </w:r>
      <w:r>
        <w:rPr>
          <w:rFonts w:ascii="Times New Roman" w:eastAsia="Times New Roman" w:hAnsi="Times New Roman" w:cs="Times New Roman"/>
          <w:i/>
          <w:color w:val="000000"/>
        </w:rPr>
        <w:t>Journal of International Business Studies</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38</w:t>
      </w:r>
      <w:r>
        <w:rPr>
          <w:rFonts w:ascii="Times New Roman" w:eastAsia="Times New Roman" w:hAnsi="Times New Roman" w:cs="Times New Roman"/>
          <w:color w:val="000000"/>
        </w:rPr>
        <w:t>(4), 481–498.</w:t>
      </w:r>
      <w:hyperlink r:id="rId23">
        <w:r>
          <w:rPr>
            <w:rFonts w:ascii="Times New Roman" w:eastAsia="Times New Roman" w:hAnsi="Times New Roman" w:cs="Times New Roman"/>
            <w:color w:val="000000"/>
            <w:u w:val="single"/>
          </w:rPr>
          <w:t> </w:t>
        </w:r>
      </w:hyperlink>
    </w:p>
    <w:p w14:paraId="0A79E1D9"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Marano, V., Tashman, P., &amp; Kostova, T. (2017). Escaping the iron cage: Liabilities of origin and CSR reporting of emerging market multinational enterprises. </w:t>
      </w:r>
      <w:r>
        <w:rPr>
          <w:rFonts w:ascii="Times New Roman" w:eastAsia="Times New Roman" w:hAnsi="Times New Roman" w:cs="Times New Roman"/>
          <w:i/>
          <w:color w:val="000000"/>
        </w:rPr>
        <w:t>Journal of International Business Studies</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48</w:t>
      </w:r>
      <w:r>
        <w:rPr>
          <w:rFonts w:ascii="Times New Roman" w:eastAsia="Times New Roman" w:hAnsi="Times New Roman" w:cs="Times New Roman"/>
          <w:color w:val="000000"/>
        </w:rPr>
        <w:t>(3), 386–408.</w:t>
      </w:r>
      <w:hyperlink r:id="rId24">
        <w:r>
          <w:rPr>
            <w:rFonts w:ascii="Times New Roman" w:eastAsia="Times New Roman" w:hAnsi="Times New Roman" w:cs="Times New Roman"/>
            <w:color w:val="000000"/>
            <w:u w:val="single"/>
          </w:rPr>
          <w:t> </w:t>
        </w:r>
      </w:hyperlink>
    </w:p>
    <w:p w14:paraId="00D9F7DC"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March, J., &amp; Olsen, J. (1989). </w:t>
      </w:r>
      <w:r>
        <w:rPr>
          <w:rFonts w:ascii="Times New Roman" w:eastAsia="Times New Roman" w:hAnsi="Times New Roman" w:cs="Times New Roman"/>
          <w:i/>
          <w:color w:val="000000"/>
        </w:rPr>
        <w:t xml:space="preserve">Rediscovering Institutions: The </w:t>
      </w:r>
      <w:proofErr w:type="spellStart"/>
      <w:r>
        <w:rPr>
          <w:rFonts w:ascii="Times New Roman" w:eastAsia="Times New Roman" w:hAnsi="Times New Roman" w:cs="Times New Roman"/>
          <w:i/>
          <w:color w:val="000000"/>
        </w:rPr>
        <w:t>Organisational</w:t>
      </w:r>
      <w:proofErr w:type="spellEnd"/>
      <w:r>
        <w:rPr>
          <w:rFonts w:ascii="Times New Roman" w:eastAsia="Times New Roman" w:hAnsi="Times New Roman" w:cs="Times New Roman"/>
          <w:i/>
          <w:color w:val="000000"/>
        </w:rPr>
        <w:t xml:space="preserve"> Basis of Politics</w:t>
      </w:r>
      <w:r>
        <w:rPr>
          <w:rFonts w:ascii="Times New Roman" w:eastAsia="Times New Roman" w:hAnsi="Times New Roman" w:cs="Times New Roman"/>
          <w:color w:val="000000"/>
        </w:rPr>
        <w:t>. New York: Free Press.</w:t>
      </w:r>
    </w:p>
    <w:p w14:paraId="450664F9"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Matten, D., &amp; Moon, J. (2008). “Implicit” and “Explicit” CSR: A Conceptual Framework for a Comparative Understanding of Corporate Social Responsibility. </w:t>
      </w:r>
      <w:r>
        <w:rPr>
          <w:rFonts w:ascii="Times New Roman" w:eastAsia="Times New Roman" w:hAnsi="Times New Roman" w:cs="Times New Roman"/>
          <w:i/>
          <w:color w:val="000000"/>
        </w:rPr>
        <w:t>Academy of Management Review</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33</w:t>
      </w:r>
      <w:r>
        <w:rPr>
          <w:rFonts w:ascii="Times New Roman" w:eastAsia="Times New Roman" w:hAnsi="Times New Roman" w:cs="Times New Roman"/>
          <w:color w:val="000000"/>
        </w:rPr>
        <w:t>(2), 404–424.</w:t>
      </w:r>
      <w:hyperlink r:id="rId25">
        <w:r>
          <w:rPr>
            <w:rFonts w:ascii="Times New Roman" w:eastAsia="Times New Roman" w:hAnsi="Times New Roman" w:cs="Times New Roman"/>
            <w:color w:val="000000"/>
            <w:u w:val="single"/>
          </w:rPr>
          <w:t> </w:t>
        </w:r>
      </w:hyperlink>
    </w:p>
    <w:p w14:paraId="215C8B30"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rPr>
      </w:pPr>
      <w:r>
        <w:rPr>
          <w:rFonts w:ascii="Times New Roman" w:eastAsia="Times New Roman" w:hAnsi="Times New Roman" w:cs="Times New Roman"/>
        </w:rPr>
        <w:t xml:space="preserve">Meyer, J. W., &amp; Rowan, B. (1977). Institutionalized organizations: Formal structure as myth and ceremony. </w:t>
      </w:r>
      <w:r>
        <w:rPr>
          <w:rFonts w:ascii="Times New Roman" w:eastAsia="Times New Roman" w:hAnsi="Times New Roman" w:cs="Times New Roman"/>
          <w:i/>
        </w:rPr>
        <w:t>American journal of sociology</w:t>
      </w:r>
      <w:r>
        <w:rPr>
          <w:rFonts w:ascii="Times New Roman" w:eastAsia="Times New Roman" w:hAnsi="Times New Roman" w:cs="Times New Roman"/>
        </w:rPr>
        <w:t>, 83(2), 340-363.</w:t>
      </w:r>
    </w:p>
    <w:p w14:paraId="76547080"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Meyer, K. E., Ding, Y., Li, J., &amp; Zhang, H. (2018). Overcoming Distrust: How State-Owned Enterprises Adapt their Foreign Entries to Institutional Pressures Abroad. In A. Cuervo-Cazurra (Ed.), </w:t>
      </w:r>
      <w:r>
        <w:rPr>
          <w:rFonts w:ascii="Times New Roman" w:eastAsia="Times New Roman" w:hAnsi="Times New Roman" w:cs="Times New Roman"/>
          <w:i/>
          <w:color w:val="000000"/>
        </w:rPr>
        <w:t>State-Owned Multinationals: Governments in Global Business</w:t>
      </w:r>
      <w:r>
        <w:rPr>
          <w:rFonts w:ascii="Times New Roman" w:eastAsia="Times New Roman" w:hAnsi="Times New Roman" w:cs="Times New Roman"/>
          <w:color w:val="000000"/>
        </w:rPr>
        <w:t xml:space="preserve"> (pp. 211–251). Springer International Publishing.</w:t>
      </w:r>
      <w:hyperlink r:id="rId26">
        <w:r>
          <w:rPr>
            <w:rFonts w:ascii="Times New Roman" w:eastAsia="Times New Roman" w:hAnsi="Times New Roman" w:cs="Times New Roman"/>
            <w:color w:val="000000"/>
            <w:u w:val="single"/>
          </w:rPr>
          <w:t> </w:t>
        </w:r>
      </w:hyperlink>
    </w:p>
    <w:p w14:paraId="206CC3F5"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lastRenderedPageBreak/>
        <w:t xml:space="preserve">Meyer, K. E., &amp; Peng, M. W. (2016). Theoretical foundations of emerging economy business research. </w:t>
      </w:r>
      <w:r>
        <w:rPr>
          <w:rFonts w:ascii="Times New Roman" w:eastAsia="Times New Roman" w:hAnsi="Times New Roman" w:cs="Times New Roman"/>
          <w:i/>
          <w:color w:val="000000"/>
        </w:rPr>
        <w:t>Journal of International Business Studies</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47</w:t>
      </w:r>
      <w:r>
        <w:rPr>
          <w:rFonts w:ascii="Times New Roman" w:eastAsia="Times New Roman" w:hAnsi="Times New Roman" w:cs="Times New Roman"/>
          <w:color w:val="000000"/>
        </w:rPr>
        <w:t>(1), 3–22.</w:t>
      </w:r>
    </w:p>
    <w:p w14:paraId="07A63F63"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Mio, C., Panfilo, S., &amp; Blundo, B. (2020). Sustainable development goals and the strategic role of business: A systematic literature review. </w:t>
      </w:r>
      <w:r>
        <w:rPr>
          <w:rFonts w:ascii="Times New Roman" w:eastAsia="Times New Roman" w:hAnsi="Times New Roman" w:cs="Times New Roman"/>
          <w:i/>
          <w:color w:val="000000"/>
        </w:rPr>
        <w:t>Business Strategy and the Environment</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29</w:t>
      </w:r>
      <w:r>
        <w:rPr>
          <w:rFonts w:ascii="Times New Roman" w:eastAsia="Times New Roman" w:hAnsi="Times New Roman" w:cs="Times New Roman"/>
          <w:color w:val="000000"/>
        </w:rPr>
        <w:t>(8), 3220–3245.</w:t>
      </w:r>
      <w:hyperlink r:id="rId27">
        <w:r>
          <w:rPr>
            <w:rFonts w:ascii="Times New Roman" w:eastAsia="Times New Roman" w:hAnsi="Times New Roman" w:cs="Times New Roman"/>
            <w:color w:val="000000"/>
            <w:u w:val="single"/>
          </w:rPr>
          <w:t> </w:t>
        </w:r>
      </w:hyperlink>
    </w:p>
    <w:p w14:paraId="0FDA60FB"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222222"/>
          <w:highlight w:val="white"/>
        </w:rPr>
      </w:pPr>
      <w:r>
        <w:rPr>
          <w:rFonts w:ascii="Times New Roman" w:eastAsia="Times New Roman" w:hAnsi="Times New Roman" w:cs="Times New Roman"/>
          <w:color w:val="222222"/>
          <w:highlight w:val="white"/>
        </w:rPr>
        <w:t>Montiel, I., Cuervo-Cazurra, A., Park, J., Antolín-López, R., &amp; Husted, B. W. (2021). Implementing the United Nations’ sustainable development goals in international business. </w:t>
      </w:r>
      <w:r>
        <w:rPr>
          <w:rFonts w:ascii="Times New Roman" w:eastAsia="Times New Roman" w:hAnsi="Times New Roman" w:cs="Times New Roman"/>
          <w:i/>
          <w:color w:val="222222"/>
        </w:rPr>
        <w:t>Journal of International Business Studies</w:t>
      </w:r>
      <w:r>
        <w:rPr>
          <w:rFonts w:ascii="Times New Roman" w:eastAsia="Times New Roman" w:hAnsi="Times New Roman" w:cs="Times New Roman"/>
          <w:color w:val="222222"/>
          <w:highlight w:val="white"/>
        </w:rPr>
        <w:t>, </w:t>
      </w:r>
      <w:r>
        <w:rPr>
          <w:rFonts w:ascii="Times New Roman" w:eastAsia="Times New Roman" w:hAnsi="Times New Roman" w:cs="Times New Roman"/>
          <w:i/>
          <w:color w:val="222222"/>
        </w:rPr>
        <w:t>52</w:t>
      </w:r>
      <w:r>
        <w:rPr>
          <w:rFonts w:ascii="Times New Roman" w:eastAsia="Times New Roman" w:hAnsi="Times New Roman" w:cs="Times New Roman"/>
          <w:color w:val="222222"/>
          <w:highlight w:val="white"/>
        </w:rPr>
        <w:t>(5), 999-1030.</w:t>
      </w:r>
    </w:p>
    <w:p w14:paraId="47C73082" w14:textId="77777777" w:rsidR="0030333D" w:rsidRPr="0035353C"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222222"/>
          <w:highlight w:val="white"/>
          <w:lang w:val="fr-FR"/>
        </w:rPr>
      </w:pPr>
      <w:r>
        <w:rPr>
          <w:rFonts w:ascii="Times New Roman" w:eastAsia="Times New Roman" w:hAnsi="Times New Roman" w:cs="Times New Roman"/>
          <w:color w:val="222222"/>
          <w:highlight w:val="white"/>
        </w:rPr>
        <w:t xml:space="preserve">Muller, A. (2006). Global versus local CSR strategies. </w:t>
      </w:r>
      <w:proofErr w:type="spellStart"/>
      <w:r w:rsidRPr="0035353C">
        <w:rPr>
          <w:rFonts w:ascii="Times New Roman" w:eastAsia="Times New Roman" w:hAnsi="Times New Roman" w:cs="Times New Roman"/>
          <w:color w:val="222222"/>
          <w:highlight w:val="white"/>
          <w:lang w:val="fr-FR"/>
        </w:rPr>
        <w:t>European</w:t>
      </w:r>
      <w:proofErr w:type="spellEnd"/>
      <w:r w:rsidRPr="0035353C">
        <w:rPr>
          <w:rFonts w:ascii="Times New Roman" w:eastAsia="Times New Roman" w:hAnsi="Times New Roman" w:cs="Times New Roman"/>
          <w:color w:val="222222"/>
          <w:highlight w:val="white"/>
          <w:lang w:val="fr-FR"/>
        </w:rPr>
        <w:t xml:space="preserve"> Management Journal, 24(2-3), 189-198.</w:t>
      </w:r>
    </w:p>
    <w:p w14:paraId="3F9CD553" w14:textId="77777777" w:rsidR="0030333D" w:rsidRPr="0035353C" w:rsidRDefault="00000000">
      <w:pPr>
        <w:pBdr>
          <w:top w:val="nil"/>
          <w:left w:val="nil"/>
          <w:bottom w:val="nil"/>
          <w:right w:val="nil"/>
          <w:between w:val="nil"/>
        </w:pBdr>
        <w:spacing w:before="240" w:after="240" w:line="240" w:lineRule="auto"/>
        <w:ind w:left="450" w:hanging="450"/>
        <w:jc w:val="both"/>
        <w:rPr>
          <w:rFonts w:ascii="Times New Roman" w:eastAsia="Times New Roman" w:hAnsi="Times New Roman" w:cs="Times New Roman"/>
          <w:color w:val="000000"/>
          <w:lang w:val="es-ES"/>
        </w:rPr>
      </w:pPr>
      <w:r w:rsidRPr="0035353C">
        <w:rPr>
          <w:rFonts w:ascii="Times New Roman" w:eastAsia="Times New Roman" w:hAnsi="Times New Roman" w:cs="Times New Roman"/>
          <w:color w:val="222222"/>
          <w:highlight w:val="white"/>
          <w:lang w:val="fr-FR"/>
        </w:rPr>
        <w:t xml:space="preserve">Na, H. J., Lee, K. C., Choi, S. U., &amp; Kim, S. T. (2020). </w:t>
      </w:r>
      <w:r>
        <w:rPr>
          <w:rFonts w:ascii="Times New Roman" w:eastAsia="Times New Roman" w:hAnsi="Times New Roman" w:cs="Times New Roman"/>
          <w:color w:val="222222"/>
          <w:highlight w:val="white"/>
        </w:rPr>
        <w:t xml:space="preserve">Exploring CEO messages in sustainability management reports: Applying sentiment mining and sustainability balanced scorecard methods. </w:t>
      </w:r>
      <w:proofErr w:type="spellStart"/>
      <w:r w:rsidRPr="0035353C">
        <w:rPr>
          <w:rFonts w:ascii="Times New Roman" w:eastAsia="Times New Roman" w:hAnsi="Times New Roman" w:cs="Times New Roman"/>
          <w:color w:val="222222"/>
          <w:highlight w:val="white"/>
          <w:lang w:val="es-ES"/>
        </w:rPr>
        <w:t>Sustainability</w:t>
      </w:r>
      <w:proofErr w:type="spellEnd"/>
      <w:r w:rsidRPr="0035353C">
        <w:rPr>
          <w:rFonts w:ascii="Times New Roman" w:eastAsia="Times New Roman" w:hAnsi="Times New Roman" w:cs="Times New Roman"/>
          <w:color w:val="222222"/>
          <w:highlight w:val="white"/>
          <w:lang w:val="es-ES"/>
        </w:rPr>
        <w:t>, 12(2), 590.</w:t>
      </w:r>
    </w:p>
    <w:p w14:paraId="7EB0B2C8"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sidRPr="0035353C">
        <w:rPr>
          <w:rFonts w:ascii="Times New Roman" w:eastAsia="Times New Roman" w:hAnsi="Times New Roman" w:cs="Times New Roman"/>
          <w:color w:val="000000"/>
          <w:lang w:val="es-ES"/>
        </w:rPr>
        <w:t xml:space="preserve">Navarro Galera, A., de los Ríos </w:t>
      </w:r>
      <w:proofErr w:type="spellStart"/>
      <w:r w:rsidRPr="0035353C">
        <w:rPr>
          <w:rFonts w:ascii="Times New Roman" w:eastAsia="Times New Roman" w:hAnsi="Times New Roman" w:cs="Times New Roman"/>
          <w:color w:val="000000"/>
          <w:lang w:val="es-ES"/>
        </w:rPr>
        <w:t>Berjillos</w:t>
      </w:r>
      <w:proofErr w:type="spellEnd"/>
      <w:r w:rsidRPr="0035353C">
        <w:rPr>
          <w:rFonts w:ascii="Times New Roman" w:eastAsia="Times New Roman" w:hAnsi="Times New Roman" w:cs="Times New Roman"/>
          <w:color w:val="000000"/>
          <w:lang w:val="es-ES"/>
        </w:rPr>
        <w:t xml:space="preserve">, A., Ruiz Lozano, M., &amp; Tirado Valencia, P. (2014). </w:t>
      </w:r>
      <w:r>
        <w:rPr>
          <w:rFonts w:ascii="Times New Roman" w:eastAsia="Times New Roman" w:hAnsi="Times New Roman" w:cs="Times New Roman"/>
          <w:color w:val="000000"/>
        </w:rPr>
        <w:t xml:space="preserve">Transparency of sustainability information in local governments: English-speaking and Nordic cross-country analysis. </w:t>
      </w:r>
      <w:r>
        <w:rPr>
          <w:rFonts w:ascii="Times New Roman" w:eastAsia="Times New Roman" w:hAnsi="Times New Roman" w:cs="Times New Roman"/>
          <w:i/>
          <w:color w:val="000000"/>
        </w:rPr>
        <w:t>Journal of Cleaner Production</w:t>
      </w:r>
      <w:r>
        <w:rPr>
          <w:rFonts w:ascii="Times New Roman" w:eastAsia="Times New Roman" w:hAnsi="Times New Roman" w:cs="Times New Roman"/>
          <w:color w:val="000000"/>
        </w:rPr>
        <w:t>, 64, 495–504. </w:t>
      </w:r>
    </w:p>
    <w:p w14:paraId="5BC7967E"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222222"/>
          <w:highlight w:val="white"/>
        </w:rPr>
        <w:t>Ordonez‐Ponce, E., &amp; Talbot, D. (2023). Multinational enterprises' sustainability practices and focus on developing countries: Contributions and unexpected results of SDG implementation. </w:t>
      </w:r>
      <w:r>
        <w:rPr>
          <w:rFonts w:ascii="Times New Roman" w:eastAsia="Times New Roman" w:hAnsi="Times New Roman" w:cs="Times New Roman"/>
          <w:i/>
          <w:color w:val="222222"/>
        </w:rPr>
        <w:t>Journal of International Development</w:t>
      </w:r>
      <w:r>
        <w:rPr>
          <w:rFonts w:ascii="Times New Roman" w:eastAsia="Times New Roman" w:hAnsi="Times New Roman" w:cs="Times New Roman"/>
          <w:color w:val="222222"/>
          <w:highlight w:val="white"/>
        </w:rPr>
        <w:t>, </w:t>
      </w:r>
      <w:r>
        <w:rPr>
          <w:rFonts w:ascii="Times New Roman" w:eastAsia="Times New Roman" w:hAnsi="Times New Roman" w:cs="Times New Roman"/>
          <w:i/>
          <w:color w:val="222222"/>
        </w:rPr>
        <w:t>35</w:t>
      </w:r>
      <w:r>
        <w:rPr>
          <w:rFonts w:ascii="Times New Roman" w:eastAsia="Times New Roman" w:hAnsi="Times New Roman" w:cs="Times New Roman"/>
          <w:color w:val="222222"/>
          <w:highlight w:val="white"/>
        </w:rPr>
        <w:t>(2), 201-232.</w:t>
      </w:r>
    </w:p>
    <w:p w14:paraId="12E55916"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Pedregosa, F., </w:t>
      </w:r>
      <w:proofErr w:type="spellStart"/>
      <w:r>
        <w:rPr>
          <w:rFonts w:ascii="Times New Roman" w:eastAsia="Times New Roman" w:hAnsi="Times New Roman" w:cs="Times New Roman"/>
          <w:color w:val="000000"/>
        </w:rPr>
        <w:t>Varoquaux</w:t>
      </w:r>
      <w:proofErr w:type="spellEnd"/>
      <w:r>
        <w:rPr>
          <w:rFonts w:ascii="Times New Roman" w:eastAsia="Times New Roman" w:hAnsi="Times New Roman" w:cs="Times New Roman"/>
          <w:color w:val="000000"/>
        </w:rPr>
        <w:t xml:space="preserve">, G., </w:t>
      </w:r>
      <w:proofErr w:type="spellStart"/>
      <w:r>
        <w:rPr>
          <w:rFonts w:ascii="Times New Roman" w:eastAsia="Times New Roman" w:hAnsi="Times New Roman" w:cs="Times New Roman"/>
          <w:color w:val="000000"/>
        </w:rPr>
        <w:t>Gramfort</w:t>
      </w:r>
      <w:proofErr w:type="spellEnd"/>
      <w:r>
        <w:rPr>
          <w:rFonts w:ascii="Times New Roman" w:eastAsia="Times New Roman" w:hAnsi="Times New Roman" w:cs="Times New Roman"/>
          <w:color w:val="000000"/>
        </w:rPr>
        <w:t xml:space="preserve">, A., Michel, V., Thirion, B., Grisel, O., Blondel, M., </w:t>
      </w:r>
      <w:proofErr w:type="spellStart"/>
      <w:r>
        <w:rPr>
          <w:rFonts w:ascii="Times New Roman" w:eastAsia="Times New Roman" w:hAnsi="Times New Roman" w:cs="Times New Roman"/>
          <w:color w:val="000000"/>
        </w:rPr>
        <w:t>Prettenhofer</w:t>
      </w:r>
      <w:proofErr w:type="spellEnd"/>
      <w:r>
        <w:rPr>
          <w:rFonts w:ascii="Times New Roman" w:eastAsia="Times New Roman" w:hAnsi="Times New Roman" w:cs="Times New Roman"/>
          <w:color w:val="000000"/>
        </w:rPr>
        <w:t xml:space="preserve">, P., Weiss, R., Dubourg, V., Vanderplas, J., Passos, A., </w:t>
      </w:r>
      <w:proofErr w:type="spellStart"/>
      <w:r>
        <w:rPr>
          <w:rFonts w:ascii="Times New Roman" w:eastAsia="Times New Roman" w:hAnsi="Times New Roman" w:cs="Times New Roman"/>
          <w:color w:val="000000"/>
        </w:rPr>
        <w:t>Cournapeau</w:t>
      </w:r>
      <w:proofErr w:type="spellEnd"/>
      <w:r>
        <w:rPr>
          <w:rFonts w:ascii="Times New Roman" w:eastAsia="Times New Roman" w:hAnsi="Times New Roman" w:cs="Times New Roman"/>
          <w:color w:val="000000"/>
        </w:rPr>
        <w:t xml:space="preserve">, D., Brucher, M., Perrot, M., &amp; </w:t>
      </w:r>
      <w:proofErr w:type="spellStart"/>
      <w:r>
        <w:rPr>
          <w:rFonts w:ascii="Times New Roman" w:eastAsia="Times New Roman" w:hAnsi="Times New Roman" w:cs="Times New Roman"/>
          <w:color w:val="000000"/>
        </w:rPr>
        <w:t>Duchesnay</w:t>
      </w:r>
      <w:proofErr w:type="spellEnd"/>
      <w:r>
        <w:rPr>
          <w:rFonts w:ascii="Times New Roman" w:eastAsia="Times New Roman" w:hAnsi="Times New Roman" w:cs="Times New Roman"/>
          <w:color w:val="000000"/>
        </w:rPr>
        <w:t xml:space="preserve">, É. (2011). Scikit-learn: Machine Learning in Python. </w:t>
      </w:r>
      <w:r>
        <w:rPr>
          <w:rFonts w:ascii="Times New Roman" w:eastAsia="Times New Roman" w:hAnsi="Times New Roman" w:cs="Times New Roman"/>
          <w:i/>
          <w:color w:val="000000"/>
        </w:rPr>
        <w:t>Journal of Machine Learning Research</w:t>
      </w:r>
      <w:sdt>
        <w:sdtPr>
          <w:tag w:val="goog_rdk_0"/>
          <w:id w:val="135229151"/>
        </w:sdtPr>
        <w:sdtContent>
          <w:r>
            <w:rPr>
              <w:rFonts w:ascii="Gungsuh" w:eastAsia="Gungsuh" w:hAnsi="Gungsuh" w:cs="Gungsuh"/>
              <w:color w:val="000000"/>
            </w:rPr>
            <w:t>, 12(85):2825−2830, 2011.</w:t>
          </w:r>
        </w:sdtContent>
      </w:sdt>
    </w:p>
    <w:p w14:paraId="03975765"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Pistor, K. (2006). Legal ground rules in coordinated and liberal market economies. In Klaus J. </w:t>
      </w:r>
      <w:proofErr w:type="spellStart"/>
      <w:r>
        <w:rPr>
          <w:rFonts w:ascii="Times New Roman" w:eastAsia="Times New Roman" w:hAnsi="Times New Roman" w:cs="Times New Roman"/>
          <w:color w:val="000000"/>
        </w:rPr>
        <w:t>Hopt</w:t>
      </w:r>
      <w:proofErr w:type="spellEnd"/>
      <w:r>
        <w:rPr>
          <w:rFonts w:ascii="Times New Roman" w:eastAsia="Times New Roman" w:hAnsi="Times New Roman" w:cs="Times New Roman"/>
          <w:color w:val="000000"/>
        </w:rPr>
        <w:t xml:space="preserve">, Eddy </w:t>
      </w:r>
      <w:proofErr w:type="spellStart"/>
      <w:r>
        <w:rPr>
          <w:rFonts w:ascii="Times New Roman" w:eastAsia="Times New Roman" w:hAnsi="Times New Roman" w:cs="Times New Roman"/>
          <w:color w:val="000000"/>
        </w:rPr>
        <w:t>Wymeersch</w:t>
      </w:r>
      <w:proofErr w:type="spellEnd"/>
      <w:r>
        <w:rPr>
          <w:rFonts w:ascii="Times New Roman" w:eastAsia="Times New Roman" w:hAnsi="Times New Roman" w:cs="Times New Roman"/>
          <w:color w:val="000000"/>
        </w:rPr>
        <w:t>, Hideki Kanda, &amp; Harald Baum (Eds.), Corporate governance in context: Corporations, States, and Markets in Europe, Japan, and the US (pp. 249–280). Oxford and New York: Oxford University Press.</w:t>
      </w:r>
    </w:p>
    <w:p w14:paraId="60006C38" w14:textId="77777777" w:rsidR="0030333D" w:rsidRDefault="00000000">
      <w:pPr>
        <w:spacing w:before="240" w:after="240" w:line="240" w:lineRule="auto"/>
        <w:ind w:left="450" w:hanging="440"/>
        <w:jc w:val="both"/>
        <w:rPr>
          <w:rFonts w:ascii="Times New Roman" w:eastAsia="Times New Roman" w:hAnsi="Times New Roman" w:cs="Times New Roman"/>
          <w:sz w:val="24"/>
          <w:szCs w:val="24"/>
        </w:rPr>
      </w:pPr>
      <w:r>
        <w:rPr>
          <w:rFonts w:ascii="Times New Roman" w:eastAsia="Times New Roman" w:hAnsi="Times New Roman" w:cs="Times New Roman"/>
          <w:color w:val="222222"/>
          <w:highlight w:val="white"/>
        </w:rPr>
        <w:t>Powell, W. W., &amp; DiMaggio, P. J. (Eds.). (1991). </w:t>
      </w:r>
      <w:r>
        <w:rPr>
          <w:rFonts w:ascii="Times New Roman" w:eastAsia="Times New Roman" w:hAnsi="Times New Roman" w:cs="Times New Roman"/>
          <w:i/>
          <w:color w:val="222222"/>
        </w:rPr>
        <w:t>The new institutionalism in organizational analysis</w:t>
      </w:r>
      <w:r>
        <w:rPr>
          <w:rFonts w:ascii="Times New Roman" w:eastAsia="Times New Roman" w:hAnsi="Times New Roman" w:cs="Times New Roman"/>
          <w:color w:val="222222"/>
          <w:highlight w:val="white"/>
        </w:rPr>
        <w:t>. University of Chicago press.</w:t>
      </w:r>
    </w:p>
    <w:p w14:paraId="0B4498D5"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PricewaterhouseCoopers. (2015). Making it your business: Engaging with the Sustainable Development Goals. London: PwC. </w:t>
      </w:r>
    </w:p>
    <w:p w14:paraId="61A7D9DA"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Reynolds, M., &amp; </w:t>
      </w:r>
      <w:proofErr w:type="spellStart"/>
      <w:r>
        <w:rPr>
          <w:rFonts w:ascii="Times New Roman" w:eastAsia="Times New Roman" w:hAnsi="Times New Roman" w:cs="Times New Roman"/>
          <w:color w:val="000000"/>
        </w:rPr>
        <w:t>Yuthas</w:t>
      </w:r>
      <w:proofErr w:type="spellEnd"/>
      <w:r>
        <w:rPr>
          <w:rFonts w:ascii="Times New Roman" w:eastAsia="Times New Roman" w:hAnsi="Times New Roman" w:cs="Times New Roman"/>
          <w:color w:val="000000"/>
        </w:rPr>
        <w:t xml:space="preserve">, K. (2008). Moral Discourse and Corporate Social Responsibility Reporting. </w:t>
      </w:r>
      <w:r>
        <w:rPr>
          <w:rFonts w:ascii="Times New Roman" w:eastAsia="Times New Roman" w:hAnsi="Times New Roman" w:cs="Times New Roman"/>
          <w:i/>
          <w:color w:val="000000"/>
        </w:rPr>
        <w:t>Journal of Business Ethics</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78</w:t>
      </w:r>
      <w:r>
        <w:rPr>
          <w:rFonts w:ascii="Times New Roman" w:eastAsia="Times New Roman" w:hAnsi="Times New Roman" w:cs="Times New Roman"/>
          <w:color w:val="000000"/>
        </w:rPr>
        <w:t>(1), 47–64.</w:t>
      </w:r>
      <w:hyperlink r:id="rId28">
        <w:r>
          <w:rPr>
            <w:rFonts w:ascii="Times New Roman" w:eastAsia="Times New Roman" w:hAnsi="Times New Roman" w:cs="Times New Roman"/>
            <w:color w:val="000000"/>
            <w:u w:val="single"/>
          </w:rPr>
          <w:t> </w:t>
        </w:r>
      </w:hyperlink>
    </w:p>
    <w:p w14:paraId="7F5D5C0E"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Rosati, F., &amp; Faria, L. G. D. (2019). Addressing the SDGs in sustainability reports: The relationship with institutional factors. </w:t>
      </w:r>
      <w:r>
        <w:rPr>
          <w:rFonts w:ascii="Times New Roman" w:eastAsia="Times New Roman" w:hAnsi="Times New Roman" w:cs="Times New Roman"/>
          <w:i/>
          <w:color w:val="000000"/>
        </w:rPr>
        <w:t>Journal of Cleaner Production</w:t>
      </w:r>
      <w:r>
        <w:rPr>
          <w:rFonts w:ascii="Times New Roman" w:eastAsia="Times New Roman" w:hAnsi="Times New Roman" w:cs="Times New Roman"/>
          <w:color w:val="000000"/>
        </w:rPr>
        <w:t>, 215, 1312–1326. </w:t>
      </w:r>
    </w:p>
    <w:p w14:paraId="3BA17973"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Rugman, A. M., &amp; Oh, C. H. (2013). Why the Home Region Matters: Location and Regional Multinationals. </w:t>
      </w:r>
      <w:r>
        <w:rPr>
          <w:rFonts w:ascii="Times New Roman" w:eastAsia="Times New Roman" w:hAnsi="Times New Roman" w:cs="Times New Roman"/>
          <w:i/>
          <w:color w:val="000000"/>
        </w:rPr>
        <w:t>British Journal of Management</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24</w:t>
      </w:r>
      <w:r>
        <w:rPr>
          <w:rFonts w:ascii="Times New Roman" w:eastAsia="Times New Roman" w:hAnsi="Times New Roman" w:cs="Times New Roman"/>
          <w:color w:val="000000"/>
        </w:rPr>
        <w:t>(4), 463–479.</w:t>
      </w:r>
    </w:p>
    <w:p w14:paraId="3CBD0E10"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Sachs, J. D. (2015). Goal-based development and the SDGs: implications for development finance. </w:t>
      </w:r>
      <w:r>
        <w:rPr>
          <w:rFonts w:ascii="Times New Roman" w:eastAsia="Times New Roman" w:hAnsi="Times New Roman" w:cs="Times New Roman"/>
          <w:i/>
          <w:color w:val="000000"/>
        </w:rPr>
        <w:t>Oxford Review of Economic Policy</w:t>
      </w:r>
      <w:r>
        <w:rPr>
          <w:rFonts w:ascii="Times New Roman" w:eastAsia="Times New Roman" w:hAnsi="Times New Roman" w:cs="Times New Roman"/>
          <w:color w:val="000000"/>
        </w:rPr>
        <w:t>, 31(3/4), 268–278. http://www.jstor.org/stable/43741330.</w:t>
      </w:r>
    </w:p>
    <w:p w14:paraId="3BD15B1F"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Sachs, J., Schmidt-Traub, G., Kroll, C., </w:t>
      </w:r>
      <w:proofErr w:type="spellStart"/>
      <w:r>
        <w:rPr>
          <w:rFonts w:ascii="Times New Roman" w:eastAsia="Times New Roman" w:hAnsi="Times New Roman" w:cs="Times New Roman"/>
          <w:color w:val="000000"/>
        </w:rPr>
        <w:t>Lafortune</w:t>
      </w:r>
      <w:proofErr w:type="spellEnd"/>
      <w:r>
        <w:rPr>
          <w:rFonts w:ascii="Times New Roman" w:eastAsia="Times New Roman" w:hAnsi="Times New Roman" w:cs="Times New Roman"/>
          <w:color w:val="000000"/>
        </w:rPr>
        <w:t>, G., Fuller, G. (2019): Sustainable Development Report 2019. New York: Bertelsmann Stiftung and Sustainable Development Solutions Network (SDSN).</w:t>
      </w:r>
    </w:p>
    <w:p w14:paraId="69A18FE6" w14:textId="77777777" w:rsidR="0030333D" w:rsidRDefault="00000000">
      <w:pPr>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Sachs, J. D., Schmidt-Traub, G., Mazzucato, M., Messner, D., </w:t>
      </w:r>
      <w:proofErr w:type="spellStart"/>
      <w:r>
        <w:rPr>
          <w:rFonts w:ascii="Times New Roman" w:eastAsia="Times New Roman" w:hAnsi="Times New Roman" w:cs="Times New Roman"/>
        </w:rPr>
        <w:t>Nakicenovic</w:t>
      </w:r>
      <w:proofErr w:type="spellEnd"/>
      <w:r>
        <w:rPr>
          <w:rFonts w:ascii="Times New Roman" w:eastAsia="Times New Roman" w:hAnsi="Times New Roman" w:cs="Times New Roman"/>
        </w:rPr>
        <w:t xml:space="preserve">, N., &amp; </w:t>
      </w:r>
      <w:proofErr w:type="spellStart"/>
      <w:r>
        <w:rPr>
          <w:rFonts w:ascii="Times New Roman" w:eastAsia="Times New Roman" w:hAnsi="Times New Roman" w:cs="Times New Roman"/>
        </w:rPr>
        <w:t>Rockström</w:t>
      </w:r>
      <w:proofErr w:type="spellEnd"/>
      <w:r>
        <w:rPr>
          <w:rFonts w:ascii="Times New Roman" w:eastAsia="Times New Roman" w:hAnsi="Times New Roman" w:cs="Times New Roman"/>
        </w:rPr>
        <w:t>, J. (2019).</w:t>
      </w:r>
    </w:p>
    <w:p w14:paraId="761A4A03" w14:textId="77777777" w:rsidR="0030333D" w:rsidRDefault="00000000">
      <w:pPr>
        <w:spacing w:line="240" w:lineRule="auto"/>
        <w:ind w:left="425"/>
        <w:jc w:val="both"/>
        <w:rPr>
          <w:rFonts w:ascii="Times New Roman" w:eastAsia="Times New Roman" w:hAnsi="Times New Roman" w:cs="Times New Roman"/>
        </w:rPr>
      </w:pPr>
      <w:r>
        <w:rPr>
          <w:rFonts w:ascii="Times New Roman" w:eastAsia="Times New Roman" w:hAnsi="Times New Roman" w:cs="Times New Roman"/>
        </w:rPr>
        <w:t>Six transformations to achieve the sustainable development goals. Nature sustainability, 2(9), 805-814.</w:t>
      </w:r>
    </w:p>
    <w:p w14:paraId="69963EA9"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Scikit-Learn. (n.d.). User guide: contents - scikit-learn 0.24.2 documentation. Retrieved June 9</w:t>
      </w:r>
      <w:proofErr w:type="gramStart"/>
      <w:r>
        <w:rPr>
          <w:rFonts w:ascii="Times New Roman" w:eastAsia="Times New Roman" w:hAnsi="Times New Roman" w:cs="Times New Roman"/>
          <w:color w:val="000000"/>
        </w:rPr>
        <w:t xml:space="preserve"> 2021</w:t>
      </w:r>
      <w:proofErr w:type="gramEnd"/>
      <w:r>
        <w:rPr>
          <w:rFonts w:ascii="Times New Roman" w:eastAsia="Times New Roman" w:hAnsi="Times New Roman" w:cs="Times New Roman"/>
          <w:color w:val="000000"/>
        </w:rPr>
        <w:t xml:space="preserve">, from </w:t>
      </w:r>
      <w:hyperlink r:id="rId29">
        <w:r>
          <w:rPr>
            <w:rFonts w:ascii="Times New Roman" w:eastAsia="Times New Roman" w:hAnsi="Times New Roman" w:cs="Times New Roman"/>
            <w:color w:val="0563C1"/>
            <w:u w:val="single"/>
          </w:rPr>
          <w:t>https://scikit-learn.org/stable/user_guide.html</w:t>
        </w:r>
      </w:hyperlink>
    </w:p>
    <w:p w14:paraId="43EED70D" w14:textId="77777777" w:rsidR="0030333D" w:rsidRDefault="00000000">
      <w:pPr>
        <w:spacing w:before="240" w:after="240" w:line="240" w:lineRule="auto"/>
        <w:ind w:left="450" w:hanging="440"/>
        <w:jc w:val="both"/>
        <w:rPr>
          <w:rFonts w:ascii="Times New Roman" w:eastAsia="Times New Roman" w:hAnsi="Times New Roman" w:cs="Times New Roman"/>
        </w:rPr>
      </w:pPr>
      <w:r>
        <w:rPr>
          <w:rFonts w:ascii="Times New Roman" w:eastAsia="Times New Roman" w:hAnsi="Times New Roman" w:cs="Times New Roman"/>
        </w:rPr>
        <w:t xml:space="preserve">Schneider, B. R. (2009). Hierarchical Market Economies and Varieties of Capitalism in Latin America. </w:t>
      </w:r>
      <w:r>
        <w:rPr>
          <w:rFonts w:ascii="Times New Roman" w:eastAsia="Times New Roman" w:hAnsi="Times New Roman" w:cs="Times New Roman"/>
          <w:i/>
        </w:rPr>
        <w:t>Journal of Latin American Studies</w:t>
      </w:r>
      <w:r>
        <w:rPr>
          <w:rFonts w:ascii="Times New Roman" w:eastAsia="Times New Roman" w:hAnsi="Times New Roman" w:cs="Times New Roman"/>
        </w:rPr>
        <w:t>, 41(3), 553–575. http://www.jstor.org/stable/27744166</w:t>
      </w:r>
    </w:p>
    <w:p w14:paraId="3CBCD8A7"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222222"/>
          <w:highlight w:val="white"/>
        </w:rPr>
        <w:t>Scott, W.R. (1995). </w:t>
      </w:r>
      <w:r>
        <w:rPr>
          <w:rFonts w:ascii="Times New Roman" w:eastAsia="Times New Roman" w:hAnsi="Times New Roman" w:cs="Times New Roman"/>
          <w:i/>
          <w:color w:val="222222"/>
          <w:highlight w:val="white"/>
        </w:rPr>
        <w:t>Institutions and Organizations</w:t>
      </w:r>
      <w:r>
        <w:rPr>
          <w:rFonts w:ascii="Times New Roman" w:eastAsia="Times New Roman" w:hAnsi="Times New Roman" w:cs="Times New Roman"/>
          <w:color w:val="222222"/>
          <w:highlight w:val="white"/>
        </w:rPr>
        <w:t>. Thousand Oaks, CA: Sage.</w:t>
      </w:r>
    </w:p>
    <w:p w14:paraId="33D04AB9"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Scott A, &amp; Lucci P. (2015). Universality and ambition in the post-2015 development agenda: a comparison of global and national targets. </w:t>
      </w:r>
      <w:r>
        <w:rPr>
          <w:rFonts w:ascii="Times New Roman" w:eastAsia="Times New Roman" w:hAnsi="Times New Roman" w:cs="Times New Roman"/>
          <w:i/>
          <w:color w:val="000000"/>
        </w:rPr>
        <w:t>Journal of International Development</w:t>
      </w:r>
      <w:r>
        <w:rPr>
          <w:rFonts w:ascii="Times New Roman" w:eastAsia="Times New Roman" w:hAnsi="Times New Roman" w:cs="Times New Roman"/>
          <w:color w:val="000000"/>
        </w:rPr>
        <w:t xml:space="preserve"> 27(6): 752–775.</w:t>
      </w:r>
    </w:p>
    <w:p w14:paraId="58CF5CB1"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Searcy, C., &amp; </w:t>
      </w:r>
      <w:proofErr w:type="spellStart"/>
      <w:r>
        <w:rPr>
          <w:rFonts w:ascii="Times New Roman" w:eastAsia="Times New Roman" w:hAnsi="Times New Roman" w:cs="Times New Roman"/>
          <w:color w:val="000000"/>
        </w:rPr>
        <w:t>Elkhawas</w:t>
      </w:r>
      <w:proofErr w:type="spellEnd"/>
      <w:r>
        <w:rPr>
          <w:rFonts w:ascii="Times New Roman" w:eastAsia="Times New Roman" w:hAnsi="Times New Roman" w:cs="Times New Roman"/>
          <w:color w:val="000000"/>
        </w:rPr>
        <w:t xml:space="preserve">, D. (2012). Corporate sustainability ratings: an investigation into how corporations use the Dow Jones Sustainability Index. </w:t>
      </w:r>
      <w:r>
        <w:rPr>
          <w:rFonts w:ascii="Times New Roman" w:eastAsia="Times New Roman" w:hAnsi="Times New Roman" w:cs="Times New Roman"/>
          <w:i/>
          <w:color w:val="000000"/>
        </w:rPr>
        <w:t>Journal of Cleaner Production</w:t>
      </w:r>
      <w:r>
        <w:rPr>
          <w:rFonts w:ascii="Times New Roman" w:eastAsia="Times New Roman" w:hAnsi="Times New Roman" w:cs="Times New Roman"/>
          <w:color w:val="000000"/>
        </w:rPr>
        <w:t>, 35, 79-92.</w:t>
      </w:r>
    </w:p>
    <w:p w14:paraId="2623E910"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Sharma, S. (2000). Managerial interpretations and organizational context as predictors of corporate choice of environmental strategy. </w:t>
      </w:r>
      <w:r>
        <w:rPr>
          <w:rFonts w:ascii="Times New Roman" w:eastAsia="Times New Roman" w:hAnsi="Times New Roman" w:cs="Times New Roman"/>
          <w:i/>
          <w:color w:val="000000"/>
        </w:rPr>
        <w:t>Academy of Management Journal</w:t>
      </w:r>
      <w:r>
        <w:rPr>
          <w:rFonts w:ascii="Times New Roman" w:eastAsia="Times New Roman" w:hAnsi="Times New Roman" w:cs="Times New Roman"/>
          <w:color w:val="000000"/>
        </w:rPr>
        <w:t>, 43(4), 681-697.</w:t>
      </w:r>
    </w:p>
    <w:p w14:paraId="4AB0E0D4"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Shinkle, G. A. (2012). Organizational aspirations, reference points, and goals: Building on the past and aiming for the future</w:t>
      </w:r>
      <w:r>
        <w:rPr>
          <w:rFonts w:ascii="Times New Roman" w:eastAsia="Times New Roman" w:hAnsi="Times New Roman" w:cs="Times New Roman"/>
          <w:i/>
          <w:color w:val="000000"/>
        </w:rPr>
        <w:t>. Journal of Management</w:t>
      </w:r>
      <w:r>
        <w:rPr>
          <w:rFonts w:ascii="Times New Roman" w:eastAsia="Times New Roman" w:hAnsi="Times New Roman" w:cs="Times New Roman"/>
          <w:color w:val="000000"/>
        </w:rPr>
        <w:t>, 38(1), 415-455.</w:t>
      </w:r>
    </w:p>
    <w:p w14:paraId="7EAE12EF"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Shinkle, G. A., &amp; Spencer, J. W. (2012). The social construction of global corporate citizenship: Sustainability reports of automotive corporations. </w:t>
      </w:r>
      <w:r>
        <w:rPr>
          <w:rFonts w:ascii="Times New Roman" w:eastAsia="Times New Roman" w:hAnsi="Times New Roman" w:cs="Times New Roman"/>
          <w:i/>
          <w:color w:val="000000"/>
        </w:rPr>
        <w:t>Journal of World Business</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47</w:t>
      </w:r>
      <w:r>
        <w:rPr>
          <w:rFonts w:ascii="Times New Roman" w:eastAsia="Times New Roman" w:hAnsi="Times New Roman" w:cs="Times New Roman"/>
          <w:color w:val="000000"/>
        </w:rPr>
        <w:t>(1), 123–133.</w:t>
      </w:r>
      <w:hyperlink r:id="rId30">
        <w:r>
          <w:rPr>
            <w:rFonts w:ascii="Times New Roman" w:eastAsia="Times New Roman" w:hAnsi="Times New Roman" w:cs="Times New Roman"/>
            <w:color w:val="000000"/>
            <w:u w:val="single"/>
          </w:rPr>
          <w:t> </w:t>
        </w:r>
      </w:hyperlink>
    </w:p>
    <w:p w14:paraId="77194691"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Siew, R. Y. (2015). A review of corporate sustainability reporting tools (SRTs). </w:t>
      </w:r>
      <w:r>
        <w:rPr>
          <w:rFonts w:ascii="Times New Roman" w:eastAsia="Times New Roman" w:hAnsi="Times New Roman" w:cs="Times New Roman"/>
          <w:i/>
          <w:color w:val="000000"/>
        </w:rPr>
        <w:t>Journal of Environmental Management</w:t>
      </w:r>
      <w:r>
        <w:rPr>
          <w:rFonts w:ascii="Times New Roman" w:eastAsia="Times New Roman" w:hAnsi="Times New Roman" w:cs="Times New Roman"/>
          <w:color w:val="000000"/>
        </w:rPr>
        <w:t>, 164, 180-195.</w:t>
      </w:r>
    </w:p>
    <w:p w14:paraId="1FB530AC"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sz w:val="24"/>
          <w:szCs w:val="24"/>
        </w:rPr>
      </w:pPr>
      <w:r>
        <w:rPr>
          <w:rFonts w:ascii="Times New Roman" w:eastAsia="Times New Roman" w:hAnsi="Times New Roman" w:cs="Times New Roman"/>
          <w:color w:val="000000"/>
        </w:rPr>
        <w:t xml:space="preserve">Smith, H., </w:t>
      </w:r>
      <w:proofErr w:type="spellStart"/>
      <w:r>
        <w:rPr>
          <w:rFonts w:ascii="Times New Roman" w:eastAsia="Times New Roman" w:hAnsi="Times New Roman" w:cs="Times New Roman"/>
          <w:color w:val="000000"/>
        </w:rPr>
        <w:t>Discetti</w:t>
      </w:r>
      <w:proofErr w:type="spellEnd"/>
      <w:r>
        <w:rPr>
          <w:rFonts w:ascii="Times New Roman" w:eastAsia="Times New Roman" w:hAnsi="Times New Roman" w:cs="Times New Roman"/>
          <w:color w:val="000000"/>
        </w:rPr>
        <w:t xml:space="preserve">, R., Bellucci, M., &amp; </w:t>
      </w:r>
      <w:proofErr w:type="spellStart"/>
      <w:r>
        <w:rPr>
          <w:rFonts w:ascii="Times New Roman" w:eastAsia="Times New Roman" w:hAnsi="Times New Roman" w:cs="Times New Roman"/>
          <w:color w:val="000000"/>
        </w:rPr>
        <w:t>Acuti</w:t>
      </w:r>
      <w:proofErr w:type="spellEnd"/>
      <w:r>
        <w:rPr>
          <w:rFonts w:ascii="Times New Roman" w:eastAsia="Times New Roman" w:hAnsi="Times New Roman" w:cs="Times New Roman"/>
          <w:color w:val="000000"/>
        </w:rPr>
        <w:t>, D. (2022). SMEs engagement with the Sustainable Development Goals: A power perspective. Journal of Business Research, 149, 112-122.</w:t>
      </w:r>
    </w:p>
    <w:p w14:paraId="0519040A"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S&amp;P Global (2020). S&amp;P Global Sustainability Yearbook. Accessed on October 29, </w:t>
      </w:r>
      <w:proofErr w:type="gramStart"/>
      <w:r>
        <w:rPr>
          <w:rFonts w:ascii="Times New Roman" w:eastAsia="Times New Roman" w:hAnsi="Times New Roman" w:cs="Times New Roman"/>
          <w:color w:val="000000"/>
        </w:rPr>
        <w:t>2020</w:t>
      </w:r>
      <w:proofErr w:type="gramEnd"/>
      <w:r>
        <w:rPr>
          <w:rFonts w:ascii="Times New Roman" w:eastAsia="Times New Roman" w:hAnsi="Times New Roman" w:cs="Times New Roman"/>
          <w:color w:val="000000"/>
        </w:rPr>
        <w:t xml:space="preserve"> at: </w:t>
      </w:r>
      <w:hyperlink r:id="rId31">
        <w:r>
          <w:rPr>
            <w:rFonts w:ascii="Times New Roman" w:eastAsia="Times New Roman" w:hAnsi="Times New Roman" w:cs="Times New Roman"/>
            <w:color w:val="1155CC"/>
            <w:u w:val="single"/>
          </w:rPr>
          <w:t>https://www.spglobal.com/esg/csa/yearbook/</w:t>
        </w:r>
      </w:hyperlink>
      <w:r>
        <w:rPr>
          <w:rFonts w:ascii="Times New Roman" w:eastAsia="Times New Roman" w:hAnsi="Times New Roman" w:cs="Times New Roman"/>
          <w:color w:val="1155CC"/>
          <w:u w:val="single"/>
        </w:rPr>
        <w:t>.</w:t>
      </w:r>
    </w:p>
    <w:p w14:paraId="2BBCA709"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Tan, Y., Ochoa, J. J., Langston, C., &amp; Shen, L. (2015). An empirical study on the relationship between sustainability performance and business competitiveness of international construction contractors. </w:t>
      </w:r>
      <w:r>
        <w:rPr>
          <w:rFonts w:ascii="Times New Roman" w:eastAsia="Times New Roman" w:hAnsi="Times New Roman" w:cs="Times New Roman"/>
          <w:i/>
          <w:color w:val="000000"/>
        </w:rPr>
        <w:t>Journal of Cleaner Production</w:t>
      </w:r>
      <w:r>
        <w:rPr>
          <w:rFonts w:ascii="Times New Roman" w:eastAsia="Times New Roman" w:hAnsi="Times New Roman" w:cs="Times New Roman"/>
          <w:color w:val="000000"/>
        </w:rPr>
        <w:t>, 93, 273-278.</w:t>
      </w:r>
    </w:p>
    <w:p w14:paraId="7F60CEF8"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222222"/>
          <w:highlight w:val="white"/>
        </w:rPr>
        <w:t>Tashman, P., Marano, V., &amp; Kostova, T. (2019). Walking the walk or talking the talk? Corporate social responsibility decoupling in emerging market multinationals. </w:t>
      </w:r>
      <w:r>
        <w:rPr>
          <w:rFonts w:ascii="Times New Roman" w:eastAsia="Times New Roman" w:hAnsi="Times New Roman" w:cs="Times New Roman"/>
          <w:i/>
          <w:color w:val="222222"/>
        </w:rPr>
        <w:t>Journal of International Business Studies</w:t>
      </w:r>
      <w:r>
        <w:rPr>
          <w:rFonts w:ascii="Times New Roman" w:eastAsia="Times New Roman" w:hAnsi="Times New Roman" w:cs="Times New Roman"/>
          <w:color w:val="222222"/>
          <w:highlight w:val="white"/>
        </w:rPr>
        <w:t>, </w:t>
      </w:r>
      <w:r>
        <w:rPr>
          <w:rFonts w:ascii="Times New Roman" w:eastAsia="Times New Roman" w:hAnsi="Times New Roman" w:cs="Times New Roman"/>
          <w:i/>
          <w:color w:val="222222"/>
        </w:rPr>
        <w:t>50</w:t>
      </w:r>
      <w:r>
        <w:rPr>
          <w:rFonts w:ascii="Times New Roman" w:eastAsia="Times New Roman" w:hAnsi="Times New Roman" w:cs="Times New Roman"/>
          <w:color w:val="222222"/>
          <w:highlight w:val="white"/>
        </w:rPr>
        <w:t>, 153-171.</w:t>
      </w:r>
    </w:p>
    <w:p w14:paraId="3FF103F8"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sidRPr="0035353C">
        <w:rPr>
          <w:rFonts w:ascii="Times New Roman" w:eastAsia="Times New Roman" w:hAnsi="Times New Roman" w:cs="Times New Roman"/>
          <w:color w:val="000000"/>
          <w:lang w:val="de-DE"/>
        </w:rPr>
        <w:t xml:space="preserve">Tihanyi, L., Griffith, D. A., &amp; Russell, C. J. (2005). </w:t>
      </w:r>
      <w:r>
        <w:rPr>
          <w:rFonts w:ascii="Times New Roman" w:eastAsia="Times New Roman" w:hAnsi="Times New Roman" w:cs="Times New Roman"/>
          <w:color w:val="000000"/>
        </w:rPr>
        <w:t xml:space="preserve">The effect of cultural distance on entry mode choice, international diversification, and MNE performance: A meta-analysis. </w:t>
      </w:r>
      <w:r>
        <w:rPr>
          <w:rFonts w:ascii="Times New Roman" w:eastAsia="Times New Roman" w:hAnsi="Times New Roman" w:cs="Times New Roman"/>
          <w:i/>
          <w:color w:val="000000"/>
        </w:rPr>
        <w:t>Journal of International Business Studies</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36</w:t>
      </w:r>
      <w:r>
        <w:rPr>
          <w:rFonts w:ascii="Times New Roman" w:eastAsia="Times New Roman" w:hAnsi="Times New Roman" w:cs="Times New Roman"/>
          <w:color w:val="000000"/>
        </w:rPr>
        <w:t>(3), 270–283.</w:t>
      </w:r>
      <w:hyperlink r:id="rId32">
        <w:r>
          <w:rPr>
            <w:rFonts w:ascii="Times New Roman" w:eastAsia="Times New Roman" w:hAnsi="Times New Roman" w:cs="Times New Roman"/>
            <w:color w:val="000000"/>
            <w:u w:val="single"/>
          </w:rPr>
          <w:t> </w:t>
        </w:r>
      </w:hyperlink>
    </w:p>
    <w:p w14:paraId="1C320EF2"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lastRenderedPageBreak/>
        <w:t xml:space="preserve">Tung, R. L., &amp; Verbeke, A. (2010). Beyond Hofstede and GLOBE: Improving the quality of cross-cultural research. </w:t>
      </w:r>
      <w:r>
        <w:rPr>
          <w:rFonts w:ascii="Times New Roman" w:eastAsia="Times New Roman" w:hAnsi="Times New Roman" w:cs="Times New Roman"/>
          <w:i/>
          <w:color w:val="000000"/>
        </w:rPr>
        <w:t>Journal of International Business Studies</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41</w:t>
      </w:r>
      <w:r>
        <w:rPr>
          <w:rFonts w:ascii="Times New Roman" w:eastAsia="Times New Roman" w:hAnsi="Times New Roman" w:cs="Times New Roman"/>
          <w:color w:val="000000"/>
        </w:rPr>
        <w:t>(8), 1259–1274.</w:t>
      </w:r>
      <w:hyperlink r:id="rId33">
        <w:r>
          <w:rPr>
            <w:rFonts w:ascii="Times New Roman" w:eastAsia="Times New Roman" w:hAnsi="Times New Roman" w:cs="Times New Roman"/>
            <w:color w:val="000000"/>
            <w:u w:val="single"/>
          </w:rPr>
          <w:t> </w:t>
        </w:r>
      </w:hyperlink>
    </w:p>
    <w:p w14:paraId="47742930"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222222"/>
        </w:rPr>
        <w:t xml:space="preserve">United Nations (UN) Global Compact. 2014. The Role of Business and Finance in Supporting the Post-2015 Agenda. </w:t>
      </w:r>
      <w:r>
        <w:rPr>
          <w:rFonts w:ascii="Times New Roman" w:eastAsia="Times New Roman" w:hAnsi="Times New Roman" w:cs="Times New Roman"/>
          <w:color w:val="1155CC"/>
          <w:u w:val="single"/>
        </w:rPr>
        <w:t>https://www.unglobalcompact.org/docs/news</w:t>
      </w:r>
    </w:p>
    <w:p w14:paraId="4E5CF705"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United Nations (2015). Transforming our World: the 2030 Agenda for Sustainable Development. Resolution adopted by the General Assembly on 25 September 2015. Available at </w:t>
      </w:r>
      <w:r>
        <w:rPr>
          <w:rFonts w:ascii="Times New Roman" w:eastAsia="Times New Roman" w:hAnsi="Times New Roman" w:cs="Times New Roman"/>
          <w:color w:val="1155CC"/>
          <w:u w:val="single"/>
        </w:rPr>
        <w:t>https://sustainabledevelopment.un.org/post2015/transformingourworld. </w:t>
      </w:r>
    </w:p>
    <w:p w14:paraId="5F7D59D3"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United Nations (2015a). Sustainable development goals. In Department of Economic and Social Affairs (Ed.). Transforming our world: The 2030 agenda for sustainable development. New York, NY: United Nations. Retrieved from: </w:t>
      </w:r>
      <w:hyperlink r:id="rId34">
        <w:r>
          <w:rPr>
            <w:rFonts w:ascii="Times New Roman" w:eastAsia="Times New Roman" w:hAnsi="Times New Roman" w:cs="Times New Roman"/>
            <w:color w:val="0563C1"/>
            <w:u w:val="single"/>
          </w:rPr>
          <w:t>https://sustainabledevelopment.un.org/sdgs</w:t>
        </w:r>
      </w:hyperlink>
      <w:r>
        <w:rPr>
          <w:rFonts w:ascii="Times New Roman" w:eastAsia="Times New Roman" w:hAnsi="Times New Roman" w:cs="Times New Roman"/>
          <w:color w:val="000000"/>
        </w:rPr>
        <w:t xml:space="preserve"> (Accessed: 30 July 2020).</w:t>
      </w:r>
    </w:p>
    <w:p w14:paraId="66EBD9C7"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v</w:t>
      </w:r>
      <w:r>
        <w:rPr>
          <w:rFonts w:ascii="Times New Roman" w:eastAsia="Times New Roman" w:hAnsi="Times New Roman" w:cs="Times New Roman"/>
          <w:color w:val="000000"/>
        </w:rPr>
        <w:t xml:space="preserve">an der Waal, J. W., &amp; </w:t>
      </w:r>
      <w:proofErr w:type="spellStart"/>
      <w:r>
        <w:rPr>
          <w:rFonts w:ascii="Times New Roman" w:eastAsia="Times New Roman" w:hAnsi="Times New Roman" w:cs="Times New Roman"/>
          <w:color w:val="000000"/>
        </w:rPr>
        <w:t>Thijssens</w:t>
      </w:r>
      <w:proofErr w:type="spellEnd"/>
      <w:r>
        <w:rPr>
          <w:rFonts w:ascii="Times New Roman" w:eastAsia="Times New Roman" w:hAnsi="Times New Roman" w:cs="Times New Roman"/>
          <w:color w:val="000000"/>
        </w:rPr>
        <w:t xml:space="preserve">, T. (2020). Corporate involvement in sustainable development goals: Exploring the territory. </w:t>
      </w:r>
      <w:r>
        <w:rPr>
          <w:rFonts w:ascii="Times New Roman" w:eastAsia="Times New Roman" w:hAnsi="Times New Roman" w:cs="Times New Roman"/>
          <w:i/>
          <w:color w:val="000000"/>
        </w:rPr>
        <w:t>Journal of Cleaner Production</w:t>
      </w:r>
      <w:r>
        <w:rPr>
          <w:rFonts w:ascii="Times New Roman" w:eastAsia="Times New Roman" w:hAnsi="Times New Roman" w:cs="Times New Roman"/>
          <w:color w:val="000000"/>
        </w:rPr>
        <w:t>, 252, 119625.</w:t>
      </w:r>
    </w:p>
    <w:p w14:paraId="010E973D"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sz w:val="24"/>
          <w:szCs w:val="24"/>
        </w:rPr>
      </w:pPr>
      <w:r>
        <w:rPr>
          <w:rFonts w:ascii="Times New Roman" w:eastAsia="Times New Roman" w:hAnsi="Times New Roman" w:cs="Times New Roman"/>
          <w:color w:val="000000"/>
        </w:rPr>
        <w:t xml:space="preserve">van </w:t>
      </w:r>
      <w:proofErr w:type="spellStart"/>
      <w:r>
        <w:rPr>
          <w:rFonts w:ascii="Times New Roman" w:eastAsia="Times New Roman" w:hAnsi="Times New Roman" w:cs="Times New Roman"/>
          <w:color w:val="000000"/>
        </w:rPr>
        <w:t>Tulder</w:t>
      </w:r>
      <w:proofErr w:type="spellEnd"/>
      <w:r>
        <w:rPr>
          <w:rFonts w:ascii="Times New Roman" w:eastAsia="Times New Roman" w:hAnsi="Times New Roman" w:cs="Times New Roman"/>
          <w:color w:val="000000"/>
        </w:rPr>
        <w:t>, R., Rodrigues, S. B., Mirza, H., &amp; Sexsmith, K. (2021). The UN’s sustainable development goals: can multinational enterprises lead the decade of action? Journal of International Business Policy, 4, 1-21.</w:t>
      </w:r>
    </w:p>
    <w:p w14:paraId="27CCC0E0"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van </w:t>
      </w:r>
      <w:proofErr w:type="spellStart"/>
      <w:r>
        <w:rPr>
          <w:rFonts w:ascii="Times New Roman" w:eastAsia="Times New Roman" w:hAnsi="Times New Roman" w:cs="Times New Roman"/>
          <w:color w:val="000000"/>
        </w:rPr>
        <w:t>Tulder</w:t>
      </w:r>
      <w:proofErr w:type="spellEnd"/>
      <w:r>
        <w:rPr>
          <w:rFonts w:ascii="Times New Roman" w:eastAsia="Times New Roman" w:hAnsi="Times New Roman" w:cs="Times New Roman"/>
          <w:color w:val="000000"/>
        </w:rPr>
        <w:t xml:space="preserve">, Rob and van der Zwart, Alex. (2006). </w:t>
      </w:r>
      <w:r>
        <w:rPr>
          <w:rFonts w:ascii="Times New Roman" w:eastAsia="Times New Roman" w:hAnsi="Times New Roman" w:cs="Times New Roman"/>
          <w:i/>
          <w:color w:val="000000"/>
        </w:rPr>
        <w:t>International business-society management: linking corporate responsibility and globalization</w:t>
      </w:r>
      <w:r>
        <w:rPr>
          <w:rFonts w:ascii="Times New Roman" w:eastAsia="Times New Roman" w:hAnsi="Times New Roman" w:cs="Times New Roman"/>
          <w:color w:val="000000"/>
        </w:rPr>
        <w:t>. London; New York: Routledge. pp 221-229.</w:t>
      </w:r>
    </w:p>
    <w:p w14:paraId="75101050"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van Zanten, J. A., &amp; van </w:t>
      </w:r>
      <w:proofErr w:type="spellStart"/>
      <w:r>
        <w:rPr>
          <w:rFonts w:ascii="Times New Roman" w:eastAsia="Times New Roman" w:hAnsi="Times New Roman" w:cs="Times New Roman"/>
          <w:color w:val="000000"/>
        </w:rPr>
        <w:t>Tulder</w:t>
      </w:r>
      <w:proofErr w:type="spellEnd"/>
      <w:r>
        <w:rPr>
          <w:rFonts w:ascii="Times New Roman" w:eastAsia="Times New Roman" w:hAnsi="Times New Roman" w:cs="Times New Roman"/>
          <w:color w:val="000000"/>
        </w:rPr>
        <w:t xml:space="preserve">, R. (2018). Multinational enterprises and the Sustainable Development Goals: An institutional approach to corporate engagement. </w:t>
      </w:r>
      <w:r>
        <w:rPr>
          <w:rFonts w:ascii="Times New Roman" w:eastAsia="Times New Roman" w:hAnsi="Times New Roman" w:cs="Times New Roman"/>
          <w:i/>
          <w:color w:val="000000"/>
        </w:rPr>
        <w:t>Journal of International Business Policy</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1</w:t>
      </w:r>
      <w:r>
        <w:rPr>
          <w:rFonts w:ascii="Times New Roman" w:eastAsia="Times New Roman" w:hAnsi="Times New Roman" w:cs="Times New Roman"/>
          <w:color w:val="000000"/>
        </w:rPr>
        <w:t>(3), 208–233.</w:t>
      </w:r>
    </w:p>
    <w:p w14:paraId="044EC896"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222222"/>
          <w:highlight w:val="white"/>
        </w:rPr>
        <w:t xml:space="preserve">Vazquez-Brust, D., Piao, R. S., de Melo, M. F. D. S., </w:t>
      </w:r>
      <w:proofErr w:type="spellStart"/>
      <w:r>
        <w:rPr>
          <w:rFonts w:ascii="Times New Roman" w:eastAsia="Times New Roman" w:hAnsi="Times New Roman" w:cs="Times New Roman"/>
          <w:color w:val="222222"/>
          <w:highlight w:val="white"/>
        </w:rPr>
        <w:t>Yaryd</w:t>
      </w:r>
      <w:proofErr w:type="spellEnd"/>
      <w:r>
        <w:rPr>
          <w:rFonts w:ascii="Times New Roman" w:eastAsia="Times New Roman" w:hAnsi="Times New Roman" w:cs="Times New Roman"/>
          <w:color w:val="222222"/>
          <w:highlight w:val="white"/>
        </w:rPr>
        <w:t>, R. T., &amp; Carvalho, M. M. (2020). The governance of collaboration for sustainable development: Exploring the “black box”. </w:t>
      </w:r>
      <w:r>
        <w:rPr>
          <w:rFonts w:ascii="Times New Roman" w:eastAsia="Times New Roman" w:hAnsi="Times New Roman" w:cs="Times New Roman"/>
          <w:i/>
          <w:color w:val="222222"/>
        </w:rPr>
        <w:t>Journal of Cleaner Production</w:t>
      </w:r>
      <w:r>
        <w:rPr>
          <w:rFonts w:ascii="Times New Roman" w:eastAsia="Times New Roman" w:hAnsi="Times New Roman" w:cs="Times New Roman"/>
          <w:color w:val="222222"/>
          <w:highlight w:val="white"/>
        </w:rPr>
        <w:t>, </w:t>
      </w:r>
      <w:r>
        <w:rPr>
          <w:rFonts w:ascii="Times New Roman" w:eastAsia="Times New Roman" w:hAnsi="Times New Roman" w:cs="Times New Roman"/>
          <w:i/>
          <w:color w:val="222222"/>
        </w:rPr>
        <w:t>256</w:t>
      </w:r>
      <w:r>
        <w:rPr>
          <w:rFonts w:ascii="Times New Roman" w:eastAsia="Times New Roman" w:hAnsi="Times New Roman" w:cs="Times New Roman"/>
          <w:color w:val="222222"/>
          <w:highlight w:val="white"/>
        </w:rPr>
        <w:t>, 120260.</w:t>
      </w:r>
    </w:p>
    <w:p w14:paraId="5D71D392"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rPr>
        <w:t>Volberda</w:t>
      </w:r>
      <w:proofErr w:type="spellEnd"/>
      <w:r>
        <w:rPr>
          <w:rFonts w:ascii="Times New Roman" w:eastAsia="Times New Roman" w:hAnsi="Times New Roman" w:cs="Times New Roman"/>
          <w:color w:val="000000"/>
        </w:rPr>
        <w:t xml:space="preserve">, H. W., &amp; Lewin, A. Y. (2003). Co-evolutionary Dynamics Within and Between Firms: From Evolution to Co-evolution. </w:t>
      </w:r>
      <w:r>
        <w:rPr>
          <w:rFonts w:ascii="Times New Roman" w:eastAsia="Times New Roman" w:hAnsi="Times New Roman" w:cs="Times New Roman"/>
          <w:i/>
          <w:color w:val="000000"/>
        </w:rPr>
        <w:t>Journal of Management Studies</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40</w:t>
      </w:r>
      <w:r>
        <w:rPr>
          <w:rFonts w:ascii="Times New Roman" w:eastAsia="Times New Roman" w:hAnsi="Times New Roman" w:cs="Times New Roman"/>
          <w:color w:val="000000"/>
        </w:rPr>
        <w:t>(8), 2111–2136.</w:t>
      </w:r>
      <w:hyperlink r:id="rId35">
        <w:r>
          <w:rPr>
            <w:rFonts w:ascii="Times New Roman" w:eastAsia="Times New Roman" w:hAnsi="Times New Roman" w:cs="Times New Roman"/>
            <w:color w:val="000000"/>
            <w:u w:val="single"/>
          </w:rPr>
          <w:t xml:space="preserve"> </w:t>
        </w:r>
      </w:hyperlink>
      <w:hyperlink r:id="rId36">
        <w:r>
          <w:rPr>
            <w:rFonts w:ascii="Times New Roman" w:eastAsia="Times New Roman" w:hAnsi="Times New Roman" w:cs="Times New Roman"/>
            <w:color w:val="1155CC"/>
            <w:u w:val="single"/>
          </w:rPr>
          <w:t>https://doi.org/10.1046/j.1467-6486.2003.00414.x</w:t>
        </w:r>
      </w:hyperlink>
    </w:p>
    <w:p w14:paraId="72CE60E7" w14:textId="77777777" w:rsidR="0030333D" w:rsidRPr="0035353C"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lang w:val="es-ES"/>
        </w:rPr>
      </w:pPr>
      <w:r>
        <w:rPr>
          <w:rFonts w:ascii="Times New Roman" w:eastAsia="Times New Roman" w:hAnsi="Times New Roman" w:cs="Times New Roman"/>
          <w:color w:val="000000"/>
        </w:rPr>
        <w:t xml:space="preserve">Whitley, P. R. (1992). </w:t>
      </w:r>
      <w:r>
        <w:rPr>
          <w:rFonts w:ascii="Times New Roman" w:eastAsia="Times New Roman" w:hAnsi="Times New Roman" w:cs="Times New Roman"/>
          <w:i/>
          <w:color w:val="000000"/>
        </w:rPr>
        <w:t>Business Systems in East Asia: Firms, Markets and Societies</w:t>
      </w:r>
      <w:r>
        <w:rPr>
          <w:rFonts w:ascii="Times New Roman" w:eastAsia="Times New Roman" w:hAnsi="Times New Roman" w:cs="Times New Roman"/>
          <w:color w:val="000000"/>
        </w:rPr>
        <w:t xml:space="preserve">. </w:t>
      </w:r>
      <w:r w:rsidRPr="0035353C">
        <w:rPr>
          <w:rFonts w:ascii="Times New Roman" w:eastAsia="Times New Roman" w:hAnsi="Times New Roman" w:cs="Times New Roman"/>
          <w:color w:val="000000"/>
          <w:lang w:val="es-ES"/>
        </w:rPr>
        <w:t>SAGE.</w:t>
      </w:r>
    </w:p>
    <w:p w14:paraId="72686817"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proofErr w:type="spellStart"/>
      <w:r w:rsidRPr="0035353C">
        <w:rPr>
          <w:rFonts w:ascii="Times New Roman" w:eastAsia="Times New Roman" w:hAnsi="Times New Roman" w:cs="Times New Roman"/>
          <w:color w:val="000000"/>
          <w:lang w:val="es-ES"/>
        </w:rPr>
        <w:t>Whittingham</w:t>
      </w:r>
      <w:proofErr w:type="spellEnd"/>
      <w:r w:rsidRPr="0035353C">
        <w:rPr>
          <w:rFonts w:ascii="Times New Roman" w:eastAsia="Times New Roman" w:hAnsi="Times New Roman" w:cs="Times New Roman"/>
          <w:color w:val="000000"/>
          <w:lang w:val="es-ES"/>
        </w:rPr>
        <w:t xml:space="preserve">, K., Earle, A., Leyva-de la Hiz, D. &amp; Argiolas, A., (2023). </w:t>
      </w:r>
      <w:r>
        <w:rPr>
          <w:rFonts w:ascii="Times New Roman" w:eastAsia="Times New Roman" w:hAnsi="Times New Roman" w:cs="Times New Roman"/>
          <w:color w:val="000000"/>
        </w:rPr>
        <w:t xml:space="preserve">The impact of the United Nations Sustainable Development Goals on corporate sustainability reporting. </w:t>
      </w:r>
      <w:r>
        <w:rPr>
          <w:rFonts w:ascii="Times New Roman" w:eastAsia="Times New Roman" w:hAnsi="Times New Roman" w:cs="Times New Roman"/>
          <w:i/>
          <w:color w:val="000000"/>
        </w:rPr>
        <w:t>BRQ Business Research Quarterly</w:t>
      </w:r>
      <w:r>
        <w:rPr>
          <w:rFonts w:ascii="Times New Roman" w:eastAsia="Times New Roman" w:hAnsi="Times New Roman" w:cs="Times New Roman"/>
          <w:color w:val="000000"/>
        </w:rPr>
        <w:t>, 26(1), 45-61. https://doi.org/10.1177/23409444221085585.</w:t>
      </w:r>
    </w:p>
    <w:p w14:paraId="2A6E2308"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rPr>
      </w:pPr>
      <w:proofErr w:type="spellStart"/>
      <w:r>
        <w:rPr>
          <w:rFonts w:ascii="Times New Roman" w:eastAsia="Times New Roman" w:hAnsi="Times New Roman" w:cs="Times New Roman"/>
        </w:rPr>
        <w:t>Wijen</w:t>
      </w:r>
      <w:proofErr w:type="spellEnd"/>
      <w:r>
        <w:rPr>
          <w:rFonts w:ascii="Times New Roman" w:eastAsia="Times New Roman" w:hAnsi="Times New Roman" w:cs="Times New Roman"/>
        </w:rPr>
        <w:t xml:space="preserve">, F. (2014). Means versus ends in opaque institutional fields: trading off compliance and achievement in sustainability standard adoption. </w:t>
      </w:r>
      <w:r>
        <w:rPr>
          <w:rFonts w:ascii="Times New Roman" w:eastAsia="Times New Roman" w:hAnsi="Times New Roman" w:cs="Times New Roman"/>
          <w:i/>
        </w:rPr>
        <w:t>The Academy of Management Review</w:t>
      </w:r>
      <w:r>
        <w:rPr>
          <w:rFonts w:ascii="Times New Roman" w:eastAsia="Times New Roman" w:hAnsi="Times New Roman" w:cs="Times New Roman"/>
        </w:rPr>
        <w:t>, 39(3), 302–323. https://doi.org/10.5465/amr.2012.0218</w:t>
      </w:r>
    </w:p>
    <w:p w14:paraId="5E42BA4E"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Witt, M. A., &amp; Lewin, A. Y. (2007). Outward foreign direct investment as escape response to home country institutional constraints. </w:t>
      </w:r>
      <w:r>
        <w:rPr>
          <w:rFonts w:ascii="Times New Roman" w:eastAsia="Times New Roman" w:hAnsi="Times New Roman" w:cs="Times New Roman"/>
          <w:i/>
          <w:color w:val="000000"/>
        </w:rPr>
        <w:t>Journal of International Business Studies</w:t>
      </w:r>
      <w:r>
        <w:rPr>
          <w:rFonts w:ascii="Times New Roman" w:eastAsia="Times New Roman" w:hAnsi="Times New Roman" w:cs="Times New Roman"/>
          <w:color w:val="000000"/>
        </w:rPr>
        <w:t>, 38(4), 579–594. </w:t>
      </w:r>
    </w:p>
    <w:p w14:paraId="40F2185B"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lastRenderedPageBreak/>
        <w:t xml:space="preserve">Xu, K., Hitt, M. A., Brock, D., Pisano, V., &amp; Huang, L. S. R. (2021). Country institutional environments and international strategy: A review and analysis of the research. </w:t>
      </w:r>
      <w:r>
        <w:rPr>
          <w:rFonts w:ascii="Times New Roman" w:eastAsia="Times New Roman" w:hAnsi="Times New Roman" w:cs="Times New Roman"/>
          <w:i/>
          <w:color w:val="000000"/>
        </w:rPr>
        <w:t>Journal of International Management</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27</w:t>
      </w:r>
      <w:r>
        <w:rPr>
          <w:rFonts w:ascii="Times New Roman" w:eastAsia="Times New Roman" w:hAnsi="Times New Roman" w:cs="Times New Roman"/>
          <w:color w:val="000000"/>
        </w:rPr>
        <w:t>(1), 100811.</w:t>
      </w:r>
    </w:p>
    <w:p w14:paraId="229D229E" w14:textId="77777777" w:rsidR="0030333D" w:rsidRDefault="00000000">
      <w:pPr>
        <w:pBdr>
          <w:top w:val="nil"/>
          <w:left w:val="nil"/>
          <w:bottom w:val="nil"/>
          <w:right w:val="nil"/>
          <w:between w:val="nil"/>
        </w:pBdr>
        <w:spacing w:before="240" w:after="240" w:line="240" w:lineRule="auto"/>
        <w:ind w:left="450" w:hanging="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Zhang, H., Young, M. N., Tan, J., &amp; Sun, W. (2018). How Chinese companies deal with a legitimacy imbalance when acquiring firms from developed economies. </w:t>
      </w:r>
      <w:r>
        <w:rPr>
          <w:rFonts w:ascii="Times New Roman" w:eastAsia="Times New Roman" w:hAnsi="Times New Roman" w:cs="Times New Roman"/>
          <w:i/>
          <w:color w:val="000000"/>
        </w:rPr>
        <w:t>Journal of World Business,</w:t>
      </w:r>
      <w:r>
        <w:rPr>
          <w:rFonts w:ascii="Times New Roman" w:eastAsia="Times New Roman" w:hAnsi="Times New Roman" w:cs="Times New Roman"/>
          <w:color w:val="000000"/>
        </w:rPr>
        <w:t xml:space="preserve"> 53(5), 752–767. </w:t>
      </w:r>
    </w:p>
    <w:p w14:paraId="0145CCC9" w14:textId="77777777" w:rsidR="0030333D" w:rsidRDefault="00000000">
      <w:pPr>
        <w:pBdr>
          <w:top w:val="nil"/>
          <w:left w:val="nil"/>
          <w:bottom w:val="nil"/>
          <w:right w:val="nil"/>
          <w:between w:val="nil"/>
        </w:pBdr>
        <w:spacing w:line="240" w:lineRule="auto"/>
        <w:ind w:left="450" w:hanging="450"/>
        <w:rPr>
          <w:rFonts w:ascii="Times New Roman" w:eastAsia="Times New Roman" w:hAnsi="Times New Roman" w:cs="Times New Roman"/>
          <w:color w:val="000000"/>
          <w:sz w:val="24"/>
          <w:szCs w:val="24"/>
        </w:rPr>
      </w:pPr>
      <w:r>
        <w:rPr>
          <w:rFonts w:ascii="Times New Roman" w:eastAsia="Times New Roman" w:hAnsi="Times New Roman" w:cs="Times New Roman"/>
          <w:color w:val="222222"/>
          <w:highlight w:val="white"/>
        </w:rPr>
        <w:t>Zhu, Q., &amp; Geng, Y. (2013). Drivers and barriers of extended supply chain practices for energy saving and emission reduction among Chinese manufacturers. </w:t>
      </w:r>
      <w:r>
        <w:rPr>
          <w:rFonts w:ascii="Times New Roman" w:eastAsia="Times New Roman" w:hAnsi="Times New Roman" w:cs="Times New Roman"/>
          <w:i/>
          <w:color w:val="222222"/>
        </w:rPr>
        <w:t>Journal of cleaner production</w:t>
      </w:r>
      <w:r>
        <w:rPr>
          <w:rFonts w:ascii="Times New Roman" w:eastAsia="Times New Roman" w:hAnsi="Times New Roman" w:cs="Times New Roman"/>
          <w:color w:val="222222"/>
          <w:highlight w:val="white"/>
        </w:rPr>
        <w:t>, </w:t>
      </w:r>
      <w:r>
        <w:rPr>
          <w:rFonts w:ascii="Times New Roman" w:eastAsia="Times New Roman" w:hAnsi="Times New Roman" w:cs="Times New Roman"/>
          <w:i/>
          <w:color w:val="222222"/>
        </w:rPr>
        <w:t>40</w:t>
      </w:r>
      <w:r>
        <w:rPr>
          <w:rFonts w:ascii="Times New Roman" w:eastAsia="Times New Roman" w:hAnsi="Times New Roman" w:cs="Times New Roman"/>
          <w:color w:val="222222"/>
          <w:highlight w:val="white"/>
        </w:rPr>
        <w:t>, 6-12.</w:t>
      </w:r>
    </w:p>
    <w:p w14:paraId="6DCDF623" w14:textId="77777777" w:rsidR="0030333D" w:rsidRDefault="0030333D">
      <w:pPr>
        <w:ind w:left="450"/>
      </w:pPr>
    </w:p>
    <w:p w14:paraId="1168829F" w14:textId="77777777" w:rsidR="0030333D" w:rsidRDefault="00000000">
      <w:pPr>
        <w:pBdr>
          <w:top w:val="nil"/>
          <w:left w:val="nil"/>
          <w:bottom w:val="nil"/>
          <w:right w:val="nil"/>
          <w:between w:val="nil"/>
        </w:pBdr>
        <w:spacing w:line="240" w:lineRule="auto"/>
        <w:ind w:left="450" w:hanging="450"/>
        <w:rPr>
          <w:rFonts w:ascii="Times New Roman" w:eastAsia="Times New Roman" w:hAnsi="Times New Roman" w:cs="Times New Roman"/>
          <w:color w:val="000000"/>
        </w:rPr>
      </w:pPr>
      <w:r>
        <w:rPr>
          <w:rFonts w:ascii="Times New Roman" w:eastAsia="Times New Roman" w:hAnsi="Times New Roman" w:cs="Times New Roman"/>
          <w:color w:val="000000"/>
        </w:rPr>
        <w:t xml:space="preserve">Zhu, Y., &amp; Sardana, D. (2020). Multinational enterprises’ risk mitigation strategies in emerging markets: A political coalition perspective. </w:t>
      </w:r>
      <w:r>
        <w:rPr>
          <w:rFonts w:ascii="Times New Roman" w:eastAsia="Times New Roman" w:hAnsi="Times New Roman" w:cs="Times New Roman"/>
          <w:i/>
          <w:color w:val="000000"/>
        </w:rPr>
        <w:t>Journal of World Business,</w:t>
      </w:r>
      <w:r>
        <w:rPr>
          <w:rFonts w:ascii="Times New Roman" w:eastAsia="Times New Roman" w:hAnsi="Times New Roman" w:cs="Times New Roman"/>
          <w:color w:val="000000"/>
        </w:rPr>
        <w:t xml:space="preserve"> 55(2), 101044.</w:t>
      </w:r>
    </w:p>
    <w:p w14:paraId="7167CDF9" w14:textId="77777777" w:rsidR="0030333D" w:rsidRDefault="0030333D">
      <w:pPr>
        <w:pBdr>
          <w:top w:val="nil"/>
          <w:left w:val="nil"/>
          <w:bottom w:val="nil"/>
          <w:right w:val="nil"/>
          <w:between w:val="nil"/>
        </w:pBdr>
        <w:spacing w:line="240" w:lineRule="auto"/>
        <w:ind w:left="450" w:hanging="450"/>
        <w:rPr>
          <w:rFonts w:ascii="Times New Roman" w:eastAsia="Times New Roman" w:hAnsi="Times New Roman" w:cs="Times New Roman"/>
        </w:rPr>
      </w:pPr>
    </w:p>
    <w:p w14:paraId="3655BCD9" w14:textId="77777777" w:rsidR="0030333D" w:rsidRDefault="00000000">
      <w:pPr>
        <w:pBdr>
          <w:top w:val="nil"/>
          <w:left w:val="nil"/>
          <w:bottom w:val="nil"/>
          <w:right w:val="nil"/>
          <w:between w:val="nil"/>
        </w:pBdr>
        <w:spacing w:line="240" w:lineRule="auto"/>
        <w:ind w:left="450" w:hanging="450"/>
        <w:rPr>
          <w:rFonts w:ascii="Times New Roman" w:eastAsia="Times New Roman" w:hAnsi="Times New Roman" w:cs="Times New Roman"/>
        </w:rPr>
      </w:pPr>
      <w:r>
        <w:rPr>
          <w:rFonts w:ascii="Times New Roman" w:eastAsia="Times New Roman" w:hAnsi="Times New Roman" w:cs="Times New Roman"/>
        </w:rPr>
        <w:t xml:space="preserve">Zucker, L. G. (1987). Institutional theories of organization. </w:t>
      </w:r>
      <w:r>
        <w:rPr>
          <w:rFonts w:ascii="Times New Roman" w:eastAsia="Times New Roman" w:hAnsi="Times New Roman" w:cs="Times New Roman"/>
          <w:i/>
        </w:rPr>
        <w:t>Annual review of sociology</w:t>
      </w:r>
      <w:r>
        <w:rPr>
          <w:rFonts w:ascii="Times New Roman" w:eastAsia="Times New Roman" w:hAnsi="Times New Roman" w:cs="Times New Roman"/>
        </w:rPr>
        <w:t>, 13(1), 443-464.</w:t>
      </w:r>
    </w:p>
    <w:p w14:paraId="123AA02F" w14:textId="77777777" w:rsidR="0030333D" w:rsidRDefault="0030333D">
      <w:pPr>
        <w:pBdr>
          <w:top w:val="nil"/>
          <w:left w:val="nil"/>
          <w:bottom w:val="nil"/>
          <w:right w:val="nil"/>
          <w:between w:val="nil"/>
        </w:pBdr>
        <w:spacing w:line="240" w:lineRule="auto"/>
        <w:ind w:left="450" w:hanging="450"/>
        <w:rPr>
          <w:rFonts w:ascii="Times New Roman" w:eastAsia="Times New Roman" w:hAnsi="Times New Roman" w:cs="Times New Roman"/>
        </w:rPr>
      </w:pPr>
    </w:p>
    <w:p w14:paraId="6E1FEC42" w14:textId="77777777" w:rsidR="0030333D" w:rsidRDefault="0030333D">
      <w:pPr>
        <w:spacing w:before="240" w:after="240" w:line="480" w:lineRule="auto"/>
        <w:ind w:left="880" w:hanging="440"/>
        <w:jc w:val="both"/>
        <w:rPr>
          <w:rFonts w:ascii="Times New Roman" w:eastAsia="Times New Roman" w:hAnsi="Times New Roman" w:cs="Times New Roman"/>
          <w:sz w:val="24"/>
          <w:szCs w:val="24"/>
        </w:rPr>
      </w:pPr>
    </w:p>
    <w:p w14:paraId="59B7A13A" w14:textId="77777777" w:rsidR="0030333D" w:rsidRDefault="00000000">
      <w:pPr>
        <w:rPr>
          <w:rFonts w:ascii="Times New Roman" w:eastAsia="Times New Roman" w:hAnsi="Times New Roman" w:cs="Times New Roman"/>
          <w:b/>
        </w:rPr>
      </w:pPr>
      <w:r>
        <w:br w:type="page"/>
      </w:r>
    </w:p>
    <w:p w14:paraId="74B114A5" w14:textId="77777777" w:rsidR="0030333D" w:rsidRDefault="00000000">
      <w:pPr>
        <w:rPr>
          <w:rFonts w:ascii="Times New Roman" w:eastAsia="Times New Roman" w:hAnsi="Times New Roman" w:cs="Times New Roman"/>
          <w:b/>
        </w:rPr>
      </w:pPr>
      <w:r>
        <w:rPr>
          <w:rFonts w:ascii="Times New Roman" w:eastAsia="Times New Roman" w:hAnsi="Times New Roman" w:cs="Times New Roman"/>
          <w:b/>
        </w:rPr>
        <w:lastRenderedPageBreak/>
        <w:t>Table 1: Summary measures of firm alignment scores to SDGs.</w:t>
      </w:r>
    </w:p>
    <w:tbl>
      <w:tblPr>
        <w:tblStyle w:val="affff8"/>
        <w:tblW w:w="7364" w:type="dxa"/>
        <w:tblInd w:w="-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1"/>
        <w:gridCol w:w="1276"/>
        <w:gridCol w:w="1275"/>
        <w:gridCol w:w="1134"/>
        <w:gridCol w:w="1134"/>
        <w:gridCol w:w="1134"/>
      </w:tblGrid>
      <w:tr w:rsidR="0030333D" w14:paraId="2BCF8F73" w14:textId="77777777">
        <w:tc>
          <w:tcPr>
            <w:tcW w:w="1411" w:type="dxa"/>
            <w:tcBorders>
              <w:top w:val="single" w:sz="4" w:space="0" w:color="000000"/>
              <w:bottom w:val="single" w:sz="4" w:space="0" w:color="000000"/>
            </w:tcBorders>
            <w:vAlign w:val="bottom"/>
          </w:tcPr>
          <w:p w14:paraId="4871F155"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Name</w:t>
            </w:r>
          </w:p>
        </w:tc>
        <w:tc>
          <w:tcPr>
            <w:tcW w:w="1276" w:type="dxa"/>
            <w:tcBorders>
              <w:top w:val="single" w:sz="4" w:space="0" w:color="000000"/>
              <w:bottom w:val="single" w:sz="4" w:space="0" w:color="000000"/>
            </w:tcBorders>
            <w:vAlign w:val="bottom"/>
          </w:tcPr>
          <w:p w14:paraId="5644193A"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Mean</w:t>
            </w:r>
          </w:p>
        </w:tc>
        <w:tc>
          <w:tcPr>
            <w:tcW w:w="1275" w:type="dxa"/>
            <w:tcBorders>
              <w:top w:val="single" w:sz="4" w:space="0" w:color="000000"/>
              <w:bottom w:val="single" w:sz="4" w:space="0" w:color="000000"/>
            </w:tcBorders>
            <w:vAlign w:val="bottom"/>
          </w:tcPr>
          <w:p w14:paraId="0D88ADA0"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Median</w:t>
            </w:r>
          </w:p>
        </w:tc>
        <w:tc>
          <w:tcPr>
            <w:tcW w:w="1134" w:type="dxa"/>
            <w:tcBorders>
              <w:top w:val="single" w:sz="4" w:space="0" w:color="000000"/>
              <w:bottom w:val="single" w:sz="4" w:space="0" w:color="000000"/>
            </w:tcBorders>
            <w:vAlign w:val="bottom"/>
          </w:tcPr>
          <w:p w14:paraId="4F7987A6"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SD.</w:t>
            </w:r>
          </w:p>
        </w:tc>
        <w:tc>
          <w:tcPr>
            <w:tcW w:w="1134" w:type="dxa"/>
            <w:tcBorders>
              <w:top w:val="single" w:sz="4" w:space="0" w:color="000000"/>
              <w:bottom w:val="single" w:sz="4" w:space="0" w:color="000000"/>
            </w:tcBorders>
            <w:vAlign w:val="bottom"/>
          </w:tcPr>
          <w:p w14:paraId="0455D1D0"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Min</w:t>
            </w:r>
          </w:p>
        </w:tc>
        <w:tc>
          <w:tcPr>
            <w:tcW w:w="1134" w:type="dxa"/>
            <w:tcBorders>
              <w:top w:val="single" w:sz="4" w:space="0" w:color="000000"/>
              <w:bottom w:val="single" w:sz="4" w:space="0" w:color="000000"/>
            </w:tcBorders>
            <w:vAlign w:val="bottom"/>
          </w:tcPr>
          <w:p w14:paraId="6B5EB841"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Max</w:t>
            </w:r>
          </w:p>
        </w:tc>
      </w:tr>
      <w:tr w:rsidR="0030333D" w14:paraId="6CAAEC44" w14:textId="77777777">
        <w:trPr>
          <w:trHeight w:val="488"/>
        </w:trPr>
        <w:tc>
          <w:tcPr>
            <w:tcW w:w="1411" w:type="dxa"/>
            <w:tcBorders>
              <w:top w:val="single" w:sz="4" w:space="0" w:color="000000"/>
            </w:tcBorders>
            <w:vAlign w:val="bottom"/>
          </w:tcPr>
          <w:p w14:paraId="54BEEFBD" w14:textId="77777777" w:rsidR="0030333D" w:rsidRDefault="00000000">
            <w:pPr>
              <w:spacing w:line="360" w:lineRule="auto"/>
              <w:rPr>
                <w:rFonts w:ascii="Times New Roman" w:eastAsia="Times New Roman" w:hAnsi="Times New Roman" w:cs="Times New Roman"/>
              </w:rPr>
            </w:pPr>
            <w:proofErr w:type="spellStart"/>
            <w:r>
              <w:rPr>
                <w:rFonts w:ascii="Times New Roman" w:eastAsia="Times New Roman" w:hAnsi="Times New Roman" w:cs="Times New Roman"/>
              </w:rPr>
              <w:t>FSDGAv</w:t>
            </w:r>
            <w:proofErr w:type="spellEnd"/>
          </w:p>
        </w:tc>
        <w:tc>
          <w:tcPr>
            <w:tcW w:w="1276" w:type="dxa"/>
            <w:tcBorders>
              <w:top w:val="single" w:sz="4" w:space="0" w:color="000000"/>
            </w:tcBorders>
            <w:vAlign w:val="bottom"/>
          </w:tcPr>
          <w:p w14:paraId="3C001202"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35.86</w:t>
            </w:r>
          </w:p>
        </w:tc>
        <w:tc>
          <w:tcPr>
            <w:tcW w:w="1275" w:type="dxa"/>
            <w:tcBorders>
              <w:top w:val="single" w:sz="4" w:space="0" w:color="000000"/>
            </w:tcBorders>
            <w:vAlign w:val="bottom"/>
          </w:tcPr>
          <w:p w14:paraId="69BFA33A"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35.41</w:t>
            </w:r>
          </w:p>
        </w:tc>
        <w:tc>
          <w:tcPr>
            <w:tcW w:w="1134" w:type="dxa"/>
            <w:tcBorders>
              <w:top w:val="single" w:sz="4" w:space="0" w:color="000000"/>
            </w:tcBorders>
            <w:vAlign w:val="bottom"/>
          </w:tcPr>
          <w:p w14:paraId="77E5D35D"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5.27</w:t>
            </w:r>
          </w:p>
        </w:tc>
        <w:tc>
          <w:tcPr>
            <w:tcW w:w="1134" w:type="dxa"/>
            <w:tcBorders>
              <w:top w:val="single" w:sz="4" w:space="0" w:color="000000"/>
            </w:tcBorders>
            <w:vAlign w:val="bottom"/>
          </w:tcPr>
          <w:p w14:paraId="46EA9B2F"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23.73</w:t>
            </w:r>
          </w:p>
        </w:tc>
        <w:tc>
          <w:tcPr>
            <w:tcW w:w="1134" w:type="dxa"/>
            <w:tcBorders>
              <w:top w:val="single" w:sz="4" w:space="0" w:color="000000"/>
            </w:tcBorders>
            <w:vAlign w:val="bottom"/>
          </w:tcPr>
          <w:p w14:paraId="3150326A"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47.57</w:t>
            </w:r>
          </w:p>
        </w:tc>
      </w:tr>
      <w:tr w:rsidR="0030333D" w14:paraId="6AB4512F" w14:textId="77777777">
        <w:tc>
          <w:tcPr>
            <w:tcW w:w="1411" w:type="dxa"/>
          </w:tcPr>
          <w:p w14:paraId="7436CBC9"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FSDG1</w:t>
            </w:r>
          </w:p>
        </w:tc>
        <w:tc>
          <w:tcPr>
            <w:tcW w:w="1276" w:type="dxa"/>
          </w:tcPr>
          <w:p w14:paraId="7534CB30"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28.27</w:t>
            </w:r>
          </w:p>
        </w:tc>
        <w:tc>
          <w:tcPr>
            <w:tcW w:w="1275" w:type="dxa"/>
          </w:tcPr>
          <w:p w14:paraId="0563E34E"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28.10</w:t>
            </w:r>
          </w:p>
        </w:tc>
        <w:tc>
          <w:tcPr>
            <w:tcW w:w="1134" w:type="dxa"/>
          </w:tcPr>
          <w:p w14:paraId="6413EC58"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5.09</w:t>
            </w:r>
          </w:p>
        </w:tc>
        <w:tc>
          <w:tcPr>
            <w:tcW w:w="1134" w:type="dxa"/>
          </w:tcPr>
          <w:p w14:paraId="6B5ED0F8"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14.47</w:t>
            </w:r>
          </w:p>
        </w:tc>
        <w:tc>
          <w:tcPr>
            <w:tcW w:w="1134" w:type="dxa"/>
          </w:tcPr>
          <w:p w14:paraId="2F83B49A"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43.14</w:t>
            </w:r>
          </w:p>
        </w:tc>
      </w:tr>
      <w:tr w:rsidR="0030333D" w14:paraId="7CFA8295" w14:textId="77777777">
        <w:tc>
          <w:tcPr>
            <w:tcW w:w="1411" w:type="dxa"/>
          </w:tcPr>
          <w:p w14:paraId="229B5EBA"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FSDG2</w:t>
            </w:r>
          </w:p>
        </w:tc>
        <w:tc>
          <w:tcPr>
            <w:tcW w:w="1276" w:type="dxa"/>
          </w:tcPr>
          <w:p w14:paraId="3D8DD991"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35.04</w:t>
            </w:r>
          </w:p>
        </w:tc>
        <w:tc>
          <w:tcPr>
            <w:tcW w:w="1275" w:type="dxa"/>
          </w:tcPr>
          <w:p w14:paraId="05E05AE8"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34.64</w:t>
            </w:r>
          </w:p>
        </w:tc>
        <w:tc>
          <w:tcPr>
            <w:tcW w:w="1134" w:type="dxa"/>
          </w:tcPr>
          <w:p w14:paraId="0B0C37D9"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8.28</w:t>
            </w:r>
          </w:p>
        </w:tc>
        <w:tc>
          <w:tcPr>
            <w:tcW w:w="1134" w:type="dxa"/>
          </w:tcPr>
          <w:p w14:paraId="6EC730D5"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20.66</w:t>
            </w:r>
          </w:p>
        </w:tc>
        <w:tc>
          <w:tcPr>
            <w:tcW w:w="1134" w:type="dxa"/>
          </w:tcPr>
          <w:p w14:paraId="6AA953A3"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81.30</w:t>
            </w:r>
          </w:p>
        </w:tc>
      </w:tr>
      <w:tr w:rsidR="0030333D" w14:paraId="7E389B7B" w14:textId="77777777">
        <w:tc>
          <w:tcPr>
            <w:tcW w:w="1411" w:type="dxa"/>
          </w:tcPr>
          <w:p w14:paraId="31707D53"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FSDG3</w:t>
            </w:r>
          </w:p>
        </w:tc>
        <w:tc>
          <w:tcPr>
            <w:tcW w:w="1276" w:type="dxa"/>
          </w:tcPr>
          <w:p w14:paraId="4384A1E8"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35.10</w:t>
            </w:r>
          </w:p>
        </w:tc>
        <w:tc>
          <w:tcPr>
            <w:tcW w:w="1275" w:type="dxa"/>
          </w:tcPr>
          <w:p w14:paraId="5244296E"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33.25</w:t>
            </w:r>
          </w:p>
        </w:tc>
        <w:tc>
          <w:tcPr>
            <w:tcW w:w="1134" w:type="dxa"/>
          </w:tcPr>
          <w:p w14:paraId="1BF64D3C"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10.80</w:t>
            </w:r>
          </w:p>
        </w:tc>
        <w:tc>
          <w:tcPr>
            <w:tcW w:w="1134" w:type="dxa"/>
          </w:tcPr>
          <w:p w14:paraId="52FDBC54"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18.70</w:t>
            </w:r>
          </w:p>
        </w:tc>
        <w:tc>
          <w:tcPr>
            <w:tcW w:w="1134" w:type="dxa"/>
          </w:tcPr>
          <w:p w14:paraId="6B2ED1EF"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92.88</w:t>
            </w:r>
          </w:p>
        </w:tc>
      </w:tr>
      <w:tr w:rsidR="0030333D" w14:paraId="6ECBF6BA" w14:textId="77777777">
        <w:tc>
          <w:tcPr>
            <w:tcW w:w="1411" w:type="dxa"/>
          </w:tcPr>
          <w:p w14:paraId="5CB1BFFC"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FSDG4</w:t>
            </w:r>
          </w:p>
        </w:tc>
        <w:tc>
          <w:tcPr>
            <w:tcW w:w="1276" w:type="dxa"/>
          </w:tcPr>
          <w:p w14:paraId="2A1EFB98"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27.18</w:t>
            </w:r>
          </w:p>
        </w:tc>
        <w:tc>
          <w:tcPr>
            <w:tcW w:w="1275" w:type="dxa"/>
          </w:tcPr>
          <w:p w14:paraId="01A6AFEB"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27.02</w:t>
            </w:r>
          </w:p>
        </w:tc>
        <w:tc>
          <w:tcPr>
            <w:tcW w:w="1134" w:type="dxa"/>
          </w:tcPr>
          <w:p w14:paraId="72B77899"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6.83</w:t>
            </w:r>
          </w:p>
        </w:tc>
        <w:tc>
          <w:tcPr>
            <w:tcW w:w="1134" w:type="dxa"/>
          </w:tcPr>
          <w:p w14:paraId="039A8890"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9.60</w:t>
            </w:r>
          </w:p>
        </w:tc>
        <w:tc>
          <w:tcPr>
            <w:tcW w:w="1134" w:type="dxa"/>
          </w:tcPr>
          <w:p w14:paraId="5A75A872"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48.99</w:t>
            </w:r>
          </w:p>
        </w:tc>
      </w:tr>
      <w:tr w:rsidR="0030333D" w14:paraId="26710D2F" w14:textId="77777777">
        <w:tc>
          <w:tcPr>
            <w:tcW w:w="1411" w:type="dxa"/>
          </w:tcPr>
          <w:p w14:paraId="21C52B31"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FSDG5</w:t>
            </w:r>
          </w:p>
        </w:tc>
        <w:tc>
          <w:tcPr>
            <w:tcW w:w="1276" w:type="dxa"/>
          </w:tcPr>
          <w:p w14:paraId="2416C6C0"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28.68</w:t>
            </w:r>
          </w:p>
        </w:tc>
        <w:tc>
          <w:tcPr>
            <w:tcW w:w="1275" w:type="dxa"/>
          </w:tcPr>
          <w:p w14:paraId="18D38653"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28.34</w:t>
            </w:r>
          </w:p>
        </w:tc>
        <w:tc>
          <w:tcPr>
            <w:tcW w:w="1134" w:type="dxa"/>
          </w:tcPr>
          <w:p w14:paraId="05D4D813"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6.18</w:t>
            </w:r>
          </w:p>
        </w:tc>
        <w:tc>
          <w:tcPr>
            <w:tcW w:w="1134" w:type="dxa"/>
          </w:tcPr>
          <w:p w14:paraId="5172140A"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9.45</w:t>
            </w:r>
          </w:p>
        </w:tc>
        <w:tc>
          <w:tcPr>
            <w:tcW w:w="1134" w:type="dxa"/>
          </w:tcPr>
          <w:p w14:paraId="207793E2"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48.08</w:t>
            </w:r>
          </w:p>
        </w:tc>
      </w:tr>
      <w:tr w:rsidR="0030333D" w14:paraId="7DC0FF65" w14:textId="77777777">
        <w:tc>
          <w:tcPr>
            <w:tcW w:w="1411" w:type="dxa"/>
          </w:tcPr>
          <w:p w14:paraId="5A1393DF"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FSDG6</w:t>
            </w:r>
          </w:p>
        </w:tc>
        <w:tc>
          <w:tcPr>
            <w:tcW w:w="1276" w:type="dxa"/>
          </w:tcPr>
          <w:p w14:paraId="3C1CBD03"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34.62</w:t>
            </w:r>
          </w:p>
        </w:tc>
        <w:tc>
          <w:tcPr>
            <w:tcW w:w="1275" w:type="dxa"/>
          </w:tcPr>
          <w:p w14:paraId="358BDE41"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32.02</w:t>
            </w:r>
          </w:p>
        </w:tc>
        <w:tc>
          <w:tcPr>
            <w:tcW w:w="1134" w:type="dxa"/>
          </w:tcPr>
          <w:p w14:paraId="51DA2600"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14.77</w:t>
            </w:r>
          </w:p>
        </w:tc>
        <w:tc>
          <w:tcPr>
            <w:tcW w:w="1134" w:type="dxa"/>
          </w:tcPr>
          <w:p w14:paraId="38F0A54B"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13.04</w:t>
            </w:r>
          </w:p>
        </w:tc>
        <w:tc>
          <w:tcPr>
            <w:tcW w:w="1134" w:type="dxa"/>
          </w:tcPr>
          <w:p w14:paraId="0301F92E"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90.56</w:t>
            </w:r>
          </w:p>
        </w:tc>
      </w:tr>
      <w:tr w:rsidR="0030333D" w14:paraId="343D1F0C" w14:textId="77777777">
        <w:tc>
          <w:tcPr>
            <w:tcW w:w="1411" w:type="dxa"/>
          </w:tcPr>
          <w:p w14:paraId="7012D3E8"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FSDG7</w:t>
            </w:r>
          </w:p>
        </w:tc>
        <w:tc>
          <w:tcPr>
            <w:tcW w:w="1276" w:type="dxa"/>
          </w:tcPr>
          <w:p w14:paraId="1D5852C2"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41.53</w:t>
            </w:r>
          </w:p>
        </w:tc>
        <w:tc>
          <w:tcPr>
            <w:tcW w:w="1275" w:type="dxa"/>
          </w:tcPr>
          <w:p w14:paraId="606BB078"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38.63</w:t>
            </w:r>
          </w:p>
        </w:tc>
        <w:tc>
          <w:tcPr>
            <w:tcW w:w="1134" w:type="dxa"/>
          </w:tcPr>
          <w:p w14:paraId="1E5DDD30"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16.94</w:t>
            </w:r>
          </w:p>
        </w:tc>
        <w:tc>
          <w:tcPr>
            <w:tcW w:w="1134" w:type="dxa"/>
          </w:tcPr>
          <w:p w14:paraId="11FB3C01"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14.95</w:t>
            </w:r>
          </w:p>
        </w:tc>
        <w:tc>
          <w:tcPr>
            <w:tcW w:w="1134" w:type="dxa"/>
          </w:tcPr>
          <w:p w14:paraId="6E39A35D"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115.52</w:t>
            </w:r>
          </w:p>
        </w:tc>
      </w:tr>
      <w:tr w:rsidR="0030333D" w14:paraId="6C139976" w14:textId="77777777">
        <w:tc>
          <w:tcPr>
            <w:tcW w:w="1411" w:type="dxa"/>
          </w:tcPr>
          <w:p w14:paraId="27DCD75E"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FSDG8</w:t>
            </w:r>
          </w:p>
        </w:tc>
        <w:tc>
          <w:tcPr>
            <w:tcW w:w="1276" w:type="dxa"/>
          </w:tcPr>
          <w:p w14:paraId="5E3EF9FA"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39.68</w:t>
            </w:r>
          </w:p>
        </w:tc>
        <w:tc>
          <w:tcPr>
            <w:tcW w:w="1275" w:type="dxa"/>
          </w:tcPr>
          <w:p w14:paraId="3108DAF1"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39.32</w:t>
            </w:r>
          </w:p>
        </w:tc>
        <w:tc>
          <w:tcPr>
            <w:tcW w:w="1134" w:type="dxa"/>
          </w:tcPr>
          <w:p w14:paraId="3BC41157"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7.59</w:t>
            </w:r>
          </w:p>
        </w:tc>
        <w:tc>
          <w:tcPr>
            <w:tcW w:w="1134" w:type="dxa"/>
          </w:tcPr>
          <w:p w14:paraId="6BD9FC83"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19.04</w:t>
            </w:r>
          </w:p>
        </w:tc>
        <w:tc>
          <w:tcPr>
            <w:tcW w:w="1134" w:type="dxa"/>
          </w:tcPr>
          <w:p w14:paraId="24B9197D"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67.41</w:t>
            </w:r>
          </w:p>
        </w:tc>
      </w:tr>
      <w:tr w:rsidR="0030333D" w14:paraId="12C4BC1A" w14:textId="77777777">
        <w:tc>
          <w:tcPr>
            <w:tcW w:w="1411" w:type="dxa"/>
          </w:tcPr>
          <w:p w14:paraId="46F347E4"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FSDG9</w:t>
            </w:r>
          </w:p>
        </w:tc>
        <w:tc>
          <w:tcPr>
            <w:tcW w:w="1276" w:type="dxa"/>
          </w:tcPr>
          <w:p w14:paraId="7E19D1C3"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43.75</w:t>
            </w:r>
          </w:p>
        </w:tc>
        <w:tc>
          <w:tcPr>
            <w:tcW w:w="1275" w:type="dxa"/>
          </w:tcPr>
          <w:p w14:paraId="3F91212C"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43.53</w:t>
            </w:r>
          </w:p>
        </w:tc>
        <w:tc>
          <w:tcPr>
            <w:tcW w:w="1134" w:type="dxa"/>
          </w:tcPr>
          <w:p w14:paraId="3DB26E39"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8.46</w:t>
            </w:r>
          </w:p>
        </w:tc>
        <w:tc>
          <w:tcPr>
            <w:tcW w:w="1134" w:type="dxa"/>
          </w:tcPr>
          <w:p w14:paraId="013B675D"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22.55</w:t>
            </w:r>
          </w:p>
        </w:tc>
        <w:tc>
          <w:tcPr>
            <w:tcW w:w="1134" w:type="dxa"/>
          </w:tcPr>
          <w:p w14:paraId="5EF9086A"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67.24</w:t>
            </w:r>
          </w:p>
        </w:tc>
      </w:tr>
      <w:tr w:rsidR="0030333D" w14:paraId="705F81DA" w14:textId="77777777">
        <w:tc>
          <w:tcPr>
            <w:tcW w:w="1411" w:type="dxa"/>
          </w:tcPr>
          <w:p w14:paraId="2070FE79"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FSDG10</w:t>
            </w:r>
          </w:p>
        </w:tc>
        <w:tc>
          <w:tcPr>
            <w:tcW w:w="1276" w:type="dxa"/>
          </w:tcPr>
          <w:p w14:paraId="29DF374F"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28.78</w:t>
            </w:r>
          </w:p>
        </w:tc>
        <w:tc>
          <w:tcPr>
            <w:tcW w:w="1275" w:type="dxa"/>
          </w:tcPr>
          <w:p w14:paraId="735992E2"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29.15</w:t>
            </w:r>
          </w:p>
        </w:tc>
        <w:tc>
          <w:tcPr>
            <w:tcW w:w="1134" w:type="dxa"/>
          </w:tcPr>
          <w:p w14:paraId="4E64E95A"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5.20</w:t>
            </w:r>
          </w:p>
        </w:tc>
        <w:tc>
          <w:tcPr>
            <w:tcW w:w="1134" w:type="dxa"/>
          </w:tcPr>
          <w:p w14:paraId="10590846"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11.28</w:t>
            </w:r>
          </w:p>
        </w:tc>
        <w:tc>
          <w:tcPr>
            <w:tcW w:w="1134" w:type="dxa"/>
          </w:tcPr>
          <w:p w14:paraId="429F3275"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50.13</w:t>
            </w:r>
          </w:p>
        </w:tc>
      </w:tr>
      <w:tr w:rsidR="0030333D" w14:paraId="564FCD34" w14:textId="77777777">
        <w:tc>
          <w:tcPr>
            <w:tcW w:w="1411" w:type="dxa"/>
          </w:tcPr>
          <w:p w14:paraId="1B056FC0"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FSDG11</w:t>
            </w:r>
          </w:p>
        </w:tc>
        <w:tc>
          <w:tcPr>
            <w:tcW w:w="1276" w:type="dxa"/>
          </w:tcPr>
          <w:p w14:paraId="3A9CCD6D"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39.69</w:t>
            </w:r>
          </w:p>
        </w:tc>
        <w:tc>
          <w:tcPr>
            <w:tcW w:w="1275" w:type="dxa"/>
          </w:tcPr>
          <w:p w14:paraId="2C819CAD"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39.31</w:t>
            </w:r>
          </w:p>
        </w:tc>
        <w:tc>
          <w:tcPr>
            <w:tcW w:w="1134" w:type="dxa"/>
          </w:tcPr>
          <w:p w14:paraId="036456AB"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7.17</w:t>
            </w:r>
          </w:p>
        </w:tc>
        <w:tc>
          <w:tcPr>
            <w:tcW w:w="1134" w:type="dxa"/>
          </w:tcPr>
          <w:p w14:paraId="3B5D8BFA"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21.11</w:t>
            </w:r>
          </w:p>
        </w:tc>
        <w:tc>
          <w:tcPr>
            <w:tcW w:w="1134" w:type="dxa"/>
          </w:tcPr>
          <w:p w14:paraId="0ECFD5F5"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66.04</w:t>
            </w:r>
          </w:p>
        </w:tc>
      </w:tr>
      <w:tr w:rsidR="0030333D" w14:paraId="3D323C99" w14:textId="77777777">
        <w:tc>
          <w:tcPr>
            <w:tcW w:w="1411" w:type="dxa"/>
          </w:tcPr>
          <w:p w14:paraId="4E801C61"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FSDG12</w:t>
            </w:r>
          </w:p>
        </w:tc>
        <w:tc>
          <w:tcPr>
            <w:tcW w:w="1276" w:type="dxa"/>
          </w:tcPr>
          <w:p w14:paraId="23CDA2EF"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56.43</w:t>
            </w:r>
          </w:p>
        </w:tc>
        <w:tc>
          <w:tcPr>
            <w:tcW w:w="1275" w:type="dxa"/>
          </w:tcPr>
          <w:p w14:paraId="22F081AB"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55.43</w:t>
            </w:r>
          </w:p>
        </w:tc>
        <w:tc>
          <w:tcPr>
            <w:tcW w:w="1134" w:type="dxa"/>
          </w:tcPr>
          <w:p w14:paraId="7FAB4499"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13.02</w:t>
            </w:r>
          </w:p>
        </w:tc>
        <w:tc>
          <w:tcPr>
            <w:tcW w:w="1134" w:type="dxa"/>
          </w:tcPr>
          <w:p w14:paraId="6873ACB9"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23.41</w:t>
            </w:r>
          </w:p>
        </w:tc>
        <w:tc>
          <w:tcPr>
            <w:tcW w:w="1134" w:type="dxa"/>
          </w:tcPr>
          <w:p w14:paraId="38B61AE3"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89.76</w:t>
            </w:r>
          </w:p>
        </w:tc>
      </w:tr>
      <w:tr w:rsidR="0030333D" w14:paraId="6DBE2F2D" w14:textId="77777777">
        <w:tc>
          <w:tcPr>
            <w:tcW w:w="1411" w:type="dxa"/>
          </w:tcPr>
          <w:p w14:paraId="4B4B9405"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FSDG13</w:t>
            </w:r>
          </w:p>
        </w:tc>
        <w:tc>
          <w:tcPr>
            <w:tcW w:w="1276" w:type="dxa"/>
          </w:tcPr>
          <w:p w14:paraId="2D7A66E0"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36.85</w:t>
            </w:r>
          </w:p>
        </w:tc>
        <w:tc>
          <w:tcPr>
            <w:tcW w:w="1275" w:type="dxa"/>
          </w:tcPr>
          <w:p w14:paraId="4BC957CC"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34.17</w:t>
            </w:r>
          </w:p>
        </w:tc>
        <w:tc>
          <w:tcPr>
            <w:tcW w:w="1134" w:type="dxa"/>
          </w:tcPr>
          <w:p w14:paraId="0639FE56"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10.51</w:t>
            </w:r>
          </w:p>
        </w:tc>
        <w:tc>
          <w:tcPr>
            <w:tcW w:w="1134" w:type="dxa"/>
          </w:tcPr>
          <w:p w14:paraId="79DED8D2"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16.69</w:t>
            </w:r>
          </w:p>
        </w:tc>
        <w:tc>
          <w:tcPr>
            <w:tcW w:w="1134" w:type="dxa"/>
          </w:tcPr>
          <w:p w14:paraId="7530D73D"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81.29</w:t>
            </w:r>
          </w:p>
        </w:tc>
      </w:tr>
      <w:tr w:rsidR="0030333D" w14:paraId="79F257D8" w14:textId="77777777">
        <w:tc>
          <w:tcPr>
            <w:tcW w:w="1411" w:type="dxa"/>
          </w:tcPr>
          <w:p w14:paraId="3424C078"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FSDG14</w:t>
            </w:r>
          </w:p>
        </w:tc>
        <w:tc>
          <w:tcPr>
            <w:tcW w:w="1276" w:type="dxa"/>
          </w:tcPr>
          <w:p w14:paraId="00F87D76"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28.50</w:t>
            </w:r>
          </w:p>
        </w:tc>
        <w:tc>
          <w:tcPr>
            <w:tcW w:w="1275" w:type="dxa"/>
          </w:tcPr>
          <w:p w14:paraId="57F1BE61"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28.21</w:t>
            </w:r>
          </w:p>
        </w:tc>
        <w:tc>
          <w:tcPr>
            <w:tcW w:w="1134" w:type="dxa"/>
          </w:tcPr>
          <w:p w14:paraId="70217703"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5.19</w:t>
            </w:r>
          </w:p>
        </w:tc>
        <w:tc>
          <w:tcPr>
            <w:tcW w:w="1134" w:type="dxa"/>
          </w:tcPr>
          <w:p w14:paraId="4EDFA959"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16.22</w:t>
            </w:r>
          </w:p>
        </w:tc>
        <w:tc>
          <w:tcPr>
            <w:tcW w:w="1134" w:type="dxa"/>
          </w:tcPr>
          <w:p w14:paraId="75708D87"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49.90</w:t>
            </w:r>
          </w:p>
        </w:tc>
      </w:tr>
      <w:tr w:rsidR="0030333D" w14:paraId="0B6468A1" w14:textId="77777777">
        <w:tc>
          <w:tcPr>
            <w:tcW w:w="1411" w:type="dxa"/>
          </w:tcPr>
          <w:p w14:paraId="6120F792"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FSDG15</w:t>
            </w:r>
          </w:p>
        </w:tc>
        <w:tc>
          <w:tcPr>
            <w:tcW w:w="1276" w:type="dxa"/>
          </w:tcPr>
          <w:p w14:paraId="48C690DA"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35.46</w:t>
            </w:r>
          </w:p>
        </w:tc>
        <w:tc>
          <w:tcPr>
            <w:tcW w:w="1275" w:type="dxa"/>
          </w:tcPr>
          <w:p w14:paraId="04AFDBDB"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35.03</w:t>
            </w:r>
          </w:p>
        </w:tc>
        <w:tc>
          <w:tcPr>
            <w:tcW w:w="1134" w:type="dxa"/>
          </w:tcPr>
          <w:p w14:paraId="6992202C"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6.62</w:t>
            </w:r>
          </w:p>
        </w:tc>
        <w:tc>
          <w:tcPr>
            <w:tcW w:w="1134" w:type="dxa"/>
          </w:tcPr>
          <w:p w14:paraId="25E919FE"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21.48</w:t>
            </w:r>
          </w:p>
        </w:tc>
        <w:tc>
          <w:tcPr>
            <w:tcW w:w="1134" w:type="dxa"/>
          </w:tcPr>
          <w:p w14:paraId="7A96EF39"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58.84</w:t>
            </w:r>
          </w:p>
        </w:tc>
      </w:tr>
      <w:tr w:rsidR="0030333D" w14:paraId="6B91E0D4" w14:textId="77777777">
        <w:tc>
          <w:tcPr>
            <w:tcW w:w="1411" w:type="dxa"/>
          </w:tcPr>
          <w:p w14:paraId="260E92F9"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FSDG16</w:t>
            </w:r>
          </w:p>
        </w:tc>
        <w:tc>
          <w:tcPr>
            <w:tcW w:w="1276" w:type="dxa"/>
          </w:tcPr>
          <w:p w14:paraId="182933ED"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28.59</w:t>
            </w:r>
          </w:p>
        </w:tc>
        <w:tc>
          <w:tcPr>
            <w:tcW w:w="1275" w:type="dxa"/>
          </w:tcPr>
          <w:p w14:paraId="7FB9B9ED"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28.73</w:t>
            </w:r>
          </w:p>
        </w:tc>
        <w:tc>
          <w:tcPr>
            <w:tcW w:w="1134" w:type="dxa"/>
          </w:tcPr>
          <w:p w14:paraId="131EA718"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5.19</w:t>
            </w:r>
          </w:p>
        </w:tc>
        <w:tc>
          <w:tcPr>
            <w:tcW w:w="1134" w:type="dxa"/>
          </w:tcPr>
          <w:p w14:paraId="19FD1013"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15.58</w:t>
            </w:r>
          </w:p>
        </w:tc>
        <w:tc>
          <w:tcPr>
            <w:tcW w:w="1134" w:type="dxa"/>
          </w:tcPr>
          <w:p w14:paraId="1C5E5FE7"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43.31</w:t>
            </w:r>
          </w:p>
        </w:tc>
      </w:tr>
      <w:tr w:rsidR="0030333D" w14:paraId="391BE600" w14:textId="77777777">
        <w:tc>
          <w:tcPr>
            <w:tcW w:w="1411" w:type="dxa"/>
            <w:tcBorders>
              <w:bottom w:val="single" w:sz="4" w:space="0" w:color="000000"/>
            </w:tcBorders>
          </w:tcPr>
          <w:p w14:paraId="566B22E5"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FSDG17</w:t>
            </w:r>
          </w:p>
        </w:tc>
        <w:tc>
          <w:tcPr>
            <w:tcW w:w="1276" w:type="dxa"/>
            <w:tcBorders>
              <w:bottom w:val="single" w:sz="4" w:space="0" w:color="000000"/>
            </w:tcBorders>
          </w:tcPr>
          <w:p w14:paraId="67268B06"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41.51</w:t>
            </w:r>
          </w:p>
        </w:tc>
        <w:tc>
          <w:tcPr>
            <w:tcW w:w="1275" w:type="dxa"/>
            <w:tcBorders>
              <w:bottom w:val="single" w:sz="4" w:space="0" w:color="000000"/>
            </w:tcBorders>
          </w:tcPr>
          <w:p w14:paraId="4CB04B3B"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41.75</w:t>
            </w:r>
          </w:p>
        </w:tc>
        <w:tc>
          <w:tcPr>
            <w:tcW w:w="1134" w:type="dxa"/>
            <w:tcBorders>
              <w:bottom w:val="single" w:sz="4" w:space="0" w:color="000000"/>
            </w:tcBorders>
          </w:tcPr>
          <w:p w14:paraId="2242FF69"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7.18</w:t>
            </w:r>
          </w:p>
        </w:tc>
        <w:tc>
          <w:tcPr>
            <w:tcW w:w="1134" w:type="dxa"/>
            <w:tcBorders>
              <w:bottom w:val="single" w:sz="4" w:space="0" w:color="000000"/>
            </w:tcBorders>
          </w:tcPr>
          <w:p w14:paraId="7F4D24F9"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14.94</w:t>
            </w:r>
          </w:p>
        </w:tc>
        <w:tc>
          <w:tcPr>
            <w:tcW w:w="1134" w:type="dxa"/>
            <w:tcBorders>
              <w:bottom w:val="single" w:sz="4" w:space="0" w:color="000000"/>
            </w:tcBorders>
          </w:tcPr>
          <w:p w14:paraId="4D906FC0"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61.64</w:t>
            </w:r>
          </w:p>
        </w:tc>
      </w:tr>
    </w:tbl>
    <w:p w14:paraId="7E537240" w14:textId="77777777" w:rsidR="0030333D" w:rsidRDefault="0030333D">
      <w:pPr>
        <w:rPr>
          <w:rFonts w:ascii="Times New Roman" w:eastAsia="Times New Roman" w:hAnsi="Times New Roman" w:cs="Times New Roman"/>
          <w:sz w:val="24"/>
          <w:szCs w:val="24"/>
        </w:rPr>
      </w:pPr>
    </w:p>
    <w:p w14:paraId="625302CD" w14:textId="77777777" w:rsidR="0030333D" w:rsidRDefault="00000000">
      <w:pPr>
        <w:spacing w:after="160" w:line="259" w:lineRule="auto"/>
        <w:rPr>
          <w:rFonts w:ascii="Times New Roman" w:eastAsia="Times New Roman" w:hAnsi="Times New Roman" w:cs="Times New Roman"/>
          <w:sz w:val="24"/>
          <w:szCs w:val="24"/>
        </w:rPr>
      </w:pPr>
      <w:r>
        <w:br w:type="page"/>
      </w:r>
    </w:p>
    <w:p w14:paraId="259F4E90" w14:textId="77777777" w:rsidR="0030333D" w:rsidRDefault="00000000">
      <w:pPr>
        <w:rPr>
          <w:rFonts w:ascii="Times New Roman" w:eastAsia="Times New Roman" w:hAnsi="Times New Roman" w:cs="Times New Roman"/>
          <w:b/>
        </w:rPr>
      </w:pPr>
      <w:r>
        <w:rPr>
          <w:rFonts w:ascii="Times New Roman" w:eastAsia="Times New Roman" w:hAnsi="Times New Roman" w:cs="Times New Roman"/>
          <w:b/>
        </w:rPr>
        <w:lastRenderedPageBreak/>
        <w:t>Table 2: Summary measures of country SDG Progress scores.</w:t>
      </w:r>
    </w:p>
    <w:tbl>
      <w:tblPr>
        <w:tblStyle w:val="affff9"/>
        <w:tblW w:w="7223" w:type="dxa"/>
        <w:tblInd w:w="-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1"/>
        <w:gridCol w:w="1276"/>
        <w:gridCol w:w="1275"/>
        <w:gridCol w:w="1134"/>
        <w:gridCol w:w="1134"/>
        <w:gridCol w:w="993"/>
      </w:tblGrid>
      <w:tr w:rsidR="0030333D" w14:paraId="63053B07" w14:textId="77777777">
        <w:tc>
          <w:tcPr>
            <w:tcW w:w="1411" w:type="dxa"/>
            <w:tcBorders>
              <w:top w:val="single" w:sz="4" w:space="0" w:color="000000"/>
              <w:bottom w:val="single" w:sz="4" w:space="0" w:color="000000"/>
            </w:tcBorders>
            <w:vAlign w:val="bottom"/>
          </w:tcPr>
          <w:p w14:paraId="6B95A6DA"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Name</w:t>
            </w:r>
          </w:p>
        </w:tc>
        <w:tc>
          <w:tcPr>
            <w:tcW w:w="1276" w:type="dxa"/>
            <w:tcBorders>
              <w:top w:val="single" w:sz="4" w:space="0" w:color="000000"/>
              <w:bottom w:val="single" w:sz="4" w:space="0" w:color="000000"/>
            </w:tcBorders>
            <w:vAlign w:val="bottom"/>
          </w:tcPr>
          <w:p w14:paraId="672EF067"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 xml:space="preserve">Mean </w:t>
            </w:r>
          </w:p>
        </w:tc>
        <w:tc>
          <w:tcPr>
            <w:tcW w:w="1275" w:type="dxa"/>
            <w:tcBorders>
              <w:top w:val="single" w:sz="4" w:space="0" w:color="000000"/>
              <w:bottom w:val="single" w:sz="4" w:space="0" w:color="000000"/>
            </w:tcBorders>
            <w:vAlign w:val="bottom"/>
          </w:tcPr>
          <w:p w14:paraId="0EC99F53"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Median</w:t>
            </w:r>
          </w:p>
        </w:tc>
        <w:tc>
          <w:tcPr>
            <w:tcW w:w="1134" w:type="dxa"/>
            <w:tcBorders>
              <w:top w:val="single" w:sz="4" w:space="0" w:color="000000"/>
              <w:bottom w:val="single" w:sz="4" w:space="0" w:color="000000"/>
            </w:tcBorders>
            <w:vAlign w:val="bottom"/>
          </w:tcPr>
          <w:p w14:paraId="67F1E8F3"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SD.</w:t>
            </w:r>
          </w:p>
        </w:tc>
        <w:tc>
          <w:tcPr>
            <w:tcW w:w="1134" w:type="dxa"/>
            <w:tcBorders>
              <w:top w:val="single" w:sz="4" w:space="0" w:color="000000"/>
              <w:bottom w:val="single" w:sz="4" w:space="0" w:color="000000"/>
            </w:tcBorders>
            <w:vAlign w:val="bottom"/>
          </w:tcPr>
          <w:p w14:paraId="46829C27"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Min</w:t>
            </w:r>
          </w:p>
        </w:tc>
        <w:tc>
          <w:tcPr>
            <w:tcW w:w="993" w:type="dxa"/>
            <w:tcBorders>
              <w:top w:val="single" w:sz="4" w:space="0" w:color="000000"/>
              <w:bottom w:val="single" w:sz="4" w:space="0" w:color="000000"/>
            </w:tcBorders>
            <w:vAlign w:val="bottom"/>
          </w:tcPr>
          <w:p w14:paraId="1BAD50E6"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Max</w:t>
            </w:r>
          </w:p>
        </w:tc>
      </w:tr>
      <w:tr w:rsidR="0030333D" w14:paraId="62957D0F" w14:textId="77777777">
        <w:trPr>
          <w:trHeight w:val="488"/>
        </w:trPr>
        <w:tc>
          <w:tcPr>
            <w:tcW w:w="1411" w:type="dxa"/>
            <w:tcBorders>
              <w:top w:val="single" w:sz="4" w:space="0" w:color="000000"/>
            </w:tcBorders>
            <w:vAlign w:val="bottom"/>
          </w:tcPr>
          <w:p w14:paraId="5AB67394" w14:textId="77777777" w:rsidR="0030333D" w:rsidRDefault="00000000">
            <w:pPr>
              <w:spacing w:line="360" w:lineRule="auto"/>
              <w:rPr>
                <w:rFonts w:ascii="Times New Roman" w:eastAsia="Times New Roman" w:hAnsi="Times New Roman" w:cs="Times New Roman"/>
              </w:rPr>
            </w:pPr>
            <w:proofErr w:type="spellStart"/>
            <w:r>
              <w:rPr>
                <w:rFonts w:ascii="Times New Roman" w:eastAsia="Times New Roman" w:hAnsi="Times New Roman" w:cs="Times New Roman"/>
              </w:rPr>
              <w:t>CSDGAvg</w:t>
            </w:r>
            <w:proofErr w:type="spellEnd"/>
          </w:p>
        </w:tc>
        <w:tc>
          <w:tcPr>
            <w:tcW w:w="1276" w:type="dxa"/>
            <w:tcBorders>
              <w:top w:val="single" w:sz="4" w:space="0" w:color="000000"/>
            </w:tcBorders>
            <w:vAlign w:val="bottom"/>
          </w:tcPr>
          <w:p w14:paraId="247CCE28"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76.92</w:t>
            </w:r>
          </w:p>
        </w:tc>
        <w:tc>
          <w:tcPr>
            <w:tcW w:w="1275" w:type="dxa"/>
            <w:tcBorders>
              <w:top w:val="single" w:sz="4" w:space="0" w:color="000000"/>
            </w:tcBorders>
            <w:vAlign w:val="bottom"/>
          </w:tcPr>
          <w:p w14:paraId="62FDA2C1"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78.22</w:t>
            </w:r>
          </w:p>
        </w:tc>
        <w:tc>
          <w:tcPr>
            <w:tcW w:w="1134" w:type="dxa"/>
            <w:tcBorders>
              <w:top w:val="single" w:sz="4" w:space="0" w:color="000000"/>
            </w:tcBorders>
            <w:vAlign w:val="bottom"/>
          </w:tcPr>
          <w:p w14:paraId="3759B83B"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5.15</w:t>
            </w:r>
          </w:p>
        </w:tc>
        <w:tc>
          <w:tcPr>
            <w:tcW w:w="1134" w:type="dxa"/>
            <w:tcBorders>
              <w:top w:val="single" w:sz="4" w:space="0" w:color="000000"/>
            </w:tcBorders>
            <w:vAlign w:val="bottom"/>
          </w:tcPr>
          <w:p w14:paraId="07FD7B6A"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61.08</w:t>
            </w:r>
          </w:p>
        </w:tc>
        <w:tc>
          <w:tcPr>
            <w:tcW w:w="993" w:type="dxa"/>
            <w:tcBorders>
              <w:top w:val="single" w:sz="4" w:space="0" w:color="000000"/>
            </w:tcBorders>
            <w:vAlign w:val="bottom"/>
          </w:tcPr>
          <w:p w14:paraId="22744C07"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84.99</w:t>
            </w:r>
          </w:p>
        </w:tc>
      </w:tr>
      <w:tr w:rsidR="0030333D" w14:paraId="251727E8" w14:textId="77777777">
        <w:tc>
          <w:tcPr>
            <w:tcW w:w="1411" w:type="dxa"/>
          </w:tcPr>
          <w:p w14:paraId="1BEBA475"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CSDG1</w:t>
            </w:r>
          </w:p>
        </w:tc>
        <w:tc>
          <w:tcPr>
            <w:tcW w:w="1276" w:type="dxa"/>
          </w:tcPr>
          <w:p w14:paraId="3A10E795"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97.44</w:t>
            </w:r>
          </w:p>
        </w:tc>
        <w:tc>
          <w:tcPr>
            <w:tcW w:w="1275" w:type="dxa"/>
          </w:tcPr>
          <w:p w14:paraId="3591191E"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99.21</w:t>
            </w:r>
          </w:p>
        </w:tc>
        <w:tc>
          <w:tcPr>
            <w:tcW w:w="1134" w:type="dxa"/>
          </w:tcPr>
          <w:p w14:paraId="1A7D7382"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6.32</w:t>
            </w:r>
          </w:p>
        </w:tc>
        <w:tc>
          <w:tcPr>
            <w:tcW w:w="1134" w:type="dxa"/>
          </w:tcPr>
          <w:p w14:paraId="59C5135F"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71.41</w:t>
            </w:r>
          </w:p>
        </w:tc>
        <w:tc>
          <w:tcPr>
            <w:tcW w:w="993" w:type="dxa"/>
          </w:tcPr>
          <w:p w14:paraId="788518D9"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99.99</w:t>
            </w:r>
          </w:p>
        </w:tc>
      </w:tr>
      <w:tr w:rsidR="0030333D" w14:paraId="520119DA" w14:textId="77777777">
        <w:tc>
          <w:tcPr>
            <w:tcW w:w="1411" w:type="dxa"/>
          </w:tcPr>
          <w:p w14:paraId="0462B87D"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CSDG2</w:t>
            </w:r>
          </w:p>
        </w:tc>
        <w:tc>
          <w:tcPr>
            <w:tcW w:w="1276" w:type="dxa"/>
          </w:tcPr>
          <w:p w14:paraId="5A4C58A5"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62.31</w:t>
            </w:r>
          </w:p>
        </w:tc>
        <w:tc>
          <w:tcPr>
            <w:tcW w:w="1275" w:type="dxa"/>
          </w:tcPr>
          <w:p w14:paraId="3DF1857D"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63.32</w:t>
            </w:r>
          </w:p>
        </w:tc>
        <w:tc>
          <w:tcPr>
            <w:tcW w:w="1134" w:type="dxa"/>
          </w:tcPr>
          <w:p w14:paraId="759AD430"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7.26</w:t>
            </w:r>
          </w:p>
        </w:tc>
        <w:tc>
          <w:tcPr>
            <w:tcW w:w="1134" w:type="dxa"/>
          </w:tcPr>
          <w:p w14:paraId="4FCB3617"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42.57</w:t>
            </w:r>
          </w:p>
        </w:tc>
        <w:tc>
          <w:tcPr>
            <w:tcW w:w="993" w:type="dxa"/>
          </w:tcPr>
          <w:p w14:paraId="41E6E58D"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77.87</w:t>
            </w:r>
          </w:p>
        </w:tc>
      </w:tr>
      <w:tr w:rsidR="0030333D" w14:paraId="48C0968E" w14:textId="77777777">
        <w:tc>
          <w:tcPr>
            <w:tcW w:w="1411" w:type="dxa"/>
          </w:tcPr>
          <w:p w14:paraId="0F49B2EA"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CSDG3</w:t>
            </w:r>
          </w:p>
        </w:tc>
        <w:tc>
          <w:tcPr>
            <w:tcW w:w="1276" w:type="dxa"/>
          </w:tcPr>
          <w:p w14:paraId="19617202"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90.97</w:t>
            </w:r>
          </w:p>
        </w:tc>
        <w:tc>
          <w:tcPr>
            <w:tcW w:w="1275" w:type="dxa"/>
          </w:tcPr>
          <w:p w14:paraId="4A5F76A4"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94.78</w:t>
            </w:r>
          </w:p>
        </w:tc>
        <w:tc>
          <w:tcPr>
            <w:tcW w:w="1134" w:type="dxa"/>
          </w:tcPr>
          <w:p w14:paraId="4B574918"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9.24</w:t>
            </w:r>
          </w:p>
        </w:tc>
        <w:tc>
          <w:tcPr>
            <w:tcW w:w="1134" w:type="dxa"/>
          </w:tcPr>
          <w:p w14:paraId="6E9BFD8D"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58.76</w:t>
            </w:r>
          </w:p>
        </w:tc>
        <w:tc>
          <w:tcPr>
            <w:tcW w:w="993" w:type="dxa"/>
          </w:tcPr>
          <w:p w14:paraId="715AF046"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97.89</w:t>
            </w:r>
          </w:p>
        </w:tc>
      </w:tr>
      <w:tr w:rsidR="0030333D" w14:paraId="368C1D89" w14:textId="77777777">
        <w:tc>
          <w:tcPr>
            <w:tcW w:w="1411" w:type="dxa"/>
          </w:tcPr>
          <w:p w14:paraId="1F5C996F"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CSDG4</w:t>
            </w:r>
          </w:p>
        </w:tc>
        <w:tc>
          <w:tcPr>
            <w:tcW w:w="1276" w:type="dxa"/>
          </w:tcPr>
          <w:p w14:paraId="3E76F49E"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94.10</w:t>
            </w:r>
          </w:p>
        </w:tc>
        <w:tc>
          <w:tcPr>
            <w:tcW w:w="1275" w:type="dxa"/>
          </w:tcPr>
          <w:p w14:paraId="74931B33"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95.17</w:t>
            </w:r>
          </w:p>
        </w:tc>
        <w:tc>
          <w:tcPr>
            <w:tcW w:w="1134" w:type="dxa"/>
          </w:tcPr>
          <w:p w14:paraId="4A877082"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5.05</w:t>
            </w:r>
          </w:p>
        </w:tc>
        <w:tc>
          <w:tcPr>
            <w:tcW w:w="1134" w:type="dxa"/>
          </w:tcPr>
          <w:p w14:paraId="48F4042B"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80.24</w:t>
            </w:r>
          </w:p>
        </w:tc>
        <w:tc>
          <w:tcPr>
            <w:tcW w:w="993" w:type="dxa"/>
          </w:tcPr>
          <w:p w14:paraId="5450B066"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99.92</w:t>
            </w:r>
          </w:p>
        </w:tc>
      </w:tr>
      <w:tr w:rsidR="0030333D" w14:paraId="3DBD9A09" w14:textId="77777777">
        <w:tc>
          <w:tcPr>
            <w:tcW w:w="1411" w:type="dxa"/>
          </w:tcPr>
          <w:p w14:paraId="3855DA80"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CSDG5</w:t>
            </w:r>
          </w:p>
        </w:tc>
        <w:tc>
          <w:tcPr>
            <w:tcW w:w="1276" w:type="dxa"/>
          </w:tcPr>
          <w:p w14:paraId="50AC3026"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74.00</w:t>
            </w:r>
          </w:p>
        </w:tc>
        <w:tc>
          <w:tcPr>
            <w:tcW w:w="1275" w:type="dxa"/>
          </w:tcPr>
          <w:p w14:paraId="78BFFEDD"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78.90</w:t>
            </w:r>
          </w:p>
        </w:tc>
        <w:tc>
          <w:tcPr>
            <w:tcW w:w="1134" w:type="dxa"/>
          </w:tcPr>
          <w:p w14:paraId="78A1550D"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13.90</w:t>
            </w:r>
          </w:p>
        </w:tc>
        <w:tc>
          <w:tcPr>
            <w:tcW w:w="1134" w:type="dxa"/>
          </w:tcPr>
          <w:p w14:paraId="6048BBCC"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33.19</w:t>
            </w:r>
          </w:p>
        </w:tc>
        <w:tc>
          <w:tcPr>
            <w:tcW w:w="993" w:type="dxa"/>
          </w:tcPr>
          <w:p w14:paraId="6159667C"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89.24</w:t>
            </w:r>
          </w:p>
        </w:tc>
      </w:tr>
      <w:tr w:rsidR="0030333D" w14:paraId="3F573C1D" w14:textId="77777777">
        <w:tc>
          <w:tcPr>
            <w:tcW w:w="1411" w:type="dxa"/>
          </w:tcPr>
          <w:p w14:paraId="2DCB0FD5"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CSDG6</w:t>
            </w:r>
          </w:p>
        </w:tc>
        <w:tc>
          <w:tcPr>
            <w:tcW w:w="1276" w:type="dxa"/>
          </w:tcPr>
          <w:p w14:paraId="622B1992"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86.10</w:t>
            </w:r>
          </w:p>
        </w:tc>
        <w:tc>
          <w:tcPr>
            <w:tcW w:w="1275" w:type="dxa"/>
          </w:tcPr>
          <w:p w14:paraId="2A80E2E9"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87.03</w:t>
            </w:r>
          </w:p>
        </w:tc>
        <w:tc>
          <w:tcPr>
            <w:tcW w:w="1134" w:type="dxa"/>
          </w:tcPr>
          <w:p w14:paraId="2D8DDB90"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8.65</w:t>
            </w:r>
          </w:p>
        </w:tc>
        <w:tc>
          <w:tcPr>
            <w:tcW w:w="1134" w:type="dxa"/>
          </w:tcPr>
          <w:p w14:paraId="362CF1C3"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56.58</w:t>
            </w:r>
          </w:p>
        </w:tc>
        <w:tc>
          <w:tcPr>
            <w:tcW w:w="993" w:type="dxa"/>
          </w:tcPr>
          <w:p w14:paraId="7543A67F"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96.98</w:t>
            </w:r>
          </w:p>
        </w:tc>
      </w:tr>
      <w:tr w:rsidR="0030333D" w14:paraId="5272448B" w14:textId="77777777">
        <w:tc>
          <w:tcPr>
            <w:tcW w:w="1411" w:type="dxa"/>
          </w:tcPr>
          <w:p w14:paraId="10AA069F"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CSDG7</w:t>
            </w:r>
          </w:p>
        </w:tc>
        <w:tc>
          <w:tcPr>
            <w:tcW w:w="1276" w:type="dxa"/>
          </w:tcPr>
          <w:p w14:paraId="65CCAC52"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92.17</w:t>
            </w:r>
          </w:p>
        </w:tc>
        <w:tc>
          <w:tcPr>
            <w:tcW w:w="1275" w:type="dxa"/>
          </w:tcPr>
          <w:p w14:paraId="77FBA638"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93.21</w:t>
            </w:r>
          </w:p>
        </w:tc>
        <w:tc>
          <w:tcPr>
            <w:tcW w:w="1134" w:type="dxa"/>
          </w:tcPr>
          <w:p w14:paraId="0C24A9C8"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6.71</w:t>
            </w:r>
          </w:p>
        </w:tc>
        <w:tc>
          <w:tcPr>
            <w:tcW w:w="1134" w:type="dxa"/>
          </w:tcPr>
          <w:p w14:paraId="759225CF"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65.38</w:t>
            </w:r>
          </w:p>
        </w:tc>
        <w:tc>
          <w:tcPr>
            <w:tcW w:w="993" w:type="dxa"/>
          </w:tcPr>
          <w:p w14:paraId="02C17355"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98.68</w:t>
            </w:r>
          </w:p>
        </w:tc>
      </w:tr>
      <w:tr w:rsidR="0030333D" w14:paraId="0A4CEB9E" w14:textId="77777777">
        <w:tc>
          <w:tcPr>
            <w:tcW w:w="1411" w:type="dxa"/>
          </w:tcPr>
          <w:p w14:paraId="04BC58FA"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CSDG8</w:t>
            </w:r>
          </w:p>
        </w:tc>
        <w:tc>
          <w:tcPr>
            <w:tcW w:w="1276" w:type="dxa"/>
          </w:tcPr>
          <w:p w14:paraId="48AE1615"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81.46</w:t>
            </w:r>
          </w:p>
        </w:tc>
        <w:tc>
          <w:tcPr>
            <w:tcW w:w="1275" w:type="dxa"/>
          </w:tcPr>
          <w:p w14:paraId="5992045C"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82.35</w:t>
            </w:r>
          </w:p>
        </w:tc>
        <w:tc>
          <w:tcPr>
            <w:tcW w:w="1134" w:type="dxa"/>
          </w:tcPr>
          <w:p w14:paraId="51BE2A5E"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4.07</w:t>
            </w:r>
          </w:p>
        </w:tc>
        <w:tc>
          <w:tcPr>
            <w:tcW w:w="1134" w:type="dxa"/>
          </w:tcPr>
          <w:p w14:paraId="076C360A"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72.56</w:t>
            </w:r>
          </w:p>
        </w:tc>
        <w:tc>
          <w:tcPr>
            <w:tcW w:w="993" w:type="dxa"/>
          </w:tcPr>
          <w:p w14:paraId="5D61C199"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88.49</w:t>
            </w:r>
          </w:p>
        </w:tc>
      </w:tr>
      <w:tr w:rsidR="0030333D" w14:paraId="149D16E3" w14:textId="77777777">
        <w:tc>
          <w:tcPr>
            <w:tcW w:w="1411" w:type="dxa"/>
          </w:tcPr>
          <w:p w14:paraId="43F7C87E"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CSDG9</w:t>
            </w:r>
          </w:p>
        </w:tc>
        <w:tc>
          <w:tcPr>
            <w:tcW w:w="1276" w:type="dxa"/>
          </w:tcPr>
          <w:p w14:paraId="13D3572D"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70.40</w:t>
            </w:r>
          </w:p>
        </w:tc>
        <w:tc>
          <w:tcPr>
            <w:tcW w:w="1275" w:type="dxa"/>
          </w:tcPr>
          <w:p w14:paraId="2DC4252D"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75.88</w:t>
            </w:r>
          </w:p>
        </w:tc>
        <w:tc>
          <w:tcPr>
            <w:tcW w:w="1134" w:type="dxa"/>
          </w:tcPr>
          <w:p w14:paraId="58D3024B"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17.24</w:t>
            </w:r>
          </w:p>
        </w:tc>
        <w:tc>
          <w:tcPr>
            <w:tcW w:w="1134" w:type="dxa"/>
          </w:tcPr>
          <w:p w14:paraId="320BD402"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28.67</w:t>
            </w:r>
          </w:p>
        </w:tc>
        <w:tc>
          <w:tcPr>
            <w:tcW w:w="993" w:type="dxa"/>
          </w:tcPr>
          <w:p w14:paraId="0AD125A0"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93.31</w:t>
            </w:r>
          </w:p>
        </w:tc>
      </w:tr>
      <w:tr w:rsidR="0030333D" w14:paraId="4E42F329" w14:textId="77777777">
        <w:tc>
          <w:tcPr>
            <w:tcW w:w="1411" w:type="dxa"/>
          </w:tcPr>
          <w:p w14:paraId="6983B8EF"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CSDG10</w:t>
            </w:r>
          </w:p>
        </w:tc>
        <w:tc>
          <w:tcPr>
            <w:tcW w:w="1276" w:type="dxa"/>
          </w:tcPr>
          <w:p w14:paraId="7D5AAB0C"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72.01</w:t>
            </w:r>
          </w:p>
        </w:tc>
        <w:tc>
          <w:tcPr>
            <w:tcW w:w="1275" w:type="dxa"/>
          </w:tcPr>
          <w:p w14:paraId="1A60DFBA"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76.96</w:t>
            </w:r>
          </w:p>
        </w:tc>
        <w:tc>
          <w:tcPr>
            <w:tcW w:w="1134" w:type="dxa"/>
          </w:tcPr>
          <w:p w14:paraId="1173997F"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22.03</w:t>
            </w:r>
          </w:p>
        </w:tc>
        <w:tc>
          <w:tcPr>
            <w:tcW w:w="1134" w:type="dxa"/>
          </w:tcPr>
          <w:p w14:paraId="1AD45616"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25.56</w:t>
            </w:r>
          </w:p>
        </w:tc>
        <w:tc>
          <w:tcPr>
            <w:tcW w:w="993" w:type="dxa"/>
          </w:tcPr>
          <w:p w14:paraId="5EF73F44"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100.00</w:t>
            </w:r>
          </w:p>
        </w:tc>
      </w:tr>
      <w:tr w:rsidR="0030333D" w14:paraId="6465F248" w14:textId="77777777">
        <w:tc>
          <w:tcPr>
            <w:tcW w:w="1411" w:type="dxa"/>
          </w:tcPr>
          <w:p w14:paraId="79775577"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CSDG11</w:t>
            </w:r>
          </w:p>
        </w:tc>
        <w:tc>
          <w:tcPr>
            <w:tcW w:w="1276" w:type="dxa"/>
          </w:tcPr>
          <w:p w14:paraId="7216B3CF"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82.60</w:t>
            </w:r>
          </w:p>
        </w:tc>
        <w:tc>
          <w:tcPr>
            <w:tcW w:w="1275" w:type="dxa"/>
          </w:tcPr>
          <w:p w14:paraId="6BFCF685"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83.03</w:t>
            </w:r>
          </w:p>
        </w:tc>
        <w:tc>
          <w:tcPr>
            <w:tcW w:w="1134" w:type="dxa"/>
          </w:tcPr>
          <w:p w14:paraId="628A42ED"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9.37</w:t>
            </w:r>
          </w:p>
        </w:tc>
        <w:tc>
          <w:tcPr>
            <w:tcW w:w="1134" w:type="dxa"/>
          </w:tcPr>
          <w:p w14:paraId="6D366C9D"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51.12</w:t>
            </w:r>
          </w:p>
        </w:tc>
        <w:tc>
          <w:tcPr>
            <w:tcW w:w="993" w:type="dxa"/>
          </w:tcPr>
          <w:p w14:paraId="5BF1C02A"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98.35</w:t>
            </w:r>
          </w:p>
        </w:tc>
      </w:tr>
      <w:tr w:rsidR="0030333D" w14:paraId="30459200" w14:textId="77777777">
        <w:tc>
          <w:tcPr>
            <w:tcW w:w="1411" w:type="dxa"/>
          </w:tcPr>
          <w:p w14:paraId="360CAAFE"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CSDG12</w:t>
            </w:r>
          </w:p>
        </w:tc>
        <w:tc>
          <w:tcPr>
            <w:tcW w:w="1276" w:type="dxa"/>
          </w:tcPr>
          <w:p w14:paraId="1F08AF43"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54.15</w:t>
            </w:r>
          </w:p>
        </w:tc>
        <w:tc>
          <w:tcPr>
            <w:tcW w:w="1275" w:type="dxa"/>
          </w:tcPr>
          <w:p w14:paraId="2B3860C7"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51.74</w:t>
            </w:r>
          </w:p>
        </w:tc>
        <w:tc>
          <w:tcPr>
            <w:tcW w:w="1134" w:type="dxa"/>
          </w:tcPr>
          <w:p w14:paraId="2CE5780D"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16.32</w:t>
            </w:r>
          </w:p>
        </w:tc>
        <w:tc>
          <w:tcPr>
            <w:tcW w:w="1134" w:type="dxa"/>
          </w:tcPr>
          <w:p w14:paraId="7A3B68AE"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27.91</w:t>
            </w:r>
          </w:p>
        </w:tc>
        <w:tc>
          <w:tcPr>
            <w:tcW w:w="993" w:type="dxa"/>
          </w:tcPr>
          <w:p w14:paraId="542BD2DF"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94.46</w:t>
            </w:r>
          </w:p>
        </w:tc>
      </w:tr>
      <w:tr w:rsidR="0030333D" w14:paraId="74ED616D" w14:textId="77777777">
        <w:tc>
          <w:tcPr>
            <w:tcW w:w="1411" w:type="dxa"/>
          </w:tcPr>
          <w:p w14:paraId="77FECD6F"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CSDG13</w:t>
            </w:r>
          </w:p>
        </w:tc>
        <w:tc>
          <w:tcPr>
            <w:tcW w:w="1276" w:type="dxa"/>
          </w:tcPr>
          <w:p w14:paraId="051C0773"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82.89</w:t>
            </w:r>
          </w:p>
        </w:tc>
        <w:tc>
          <w:tcPr>
            <w:tcW w:w="1275" w:type="dxa"/>
          </w:tcPr>
          <w:p w14:paraId="1F567E74"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88.28</w:t>
            </w:r>
          </w:p>
        </w:tc>
        <w:tc>
          <w:tcPr>
            <w:tcW w:w="1134" w:type="dxa"/>
          </w:tcPr>
          <w:p w14:paraId="543DDA0B"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14.87</w:t>
            </w:r>
          </w:p>
        </w:tc>
        <w:tc>
          <w:tcPr>
            <w:tcW w:w="1134" w:type="dxa"/>
          </w:tcPr>
          <w:p w14:paraId="63E2B0C9"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33.90</w:t>
            </w:r>
          </w:p>
        </w:tc>
        <w:tc>
          <w:tcPr>
            <w:tcW w:w="993" w:type="dxa"/>
          </w:tcPr>
          <w:p w14:paraId="0AA4F23A"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94.67</w:t>
            </w:r>
          </w:p>
        </w:tc>
      </w:tr>
      <w:tr w:rsidR="0030333D" w14:paraId="52DF9153" w14:textId="77777777">
        <w:tc>
          <w:tcPr>
            <w:tcW w:w="1411" w:type="dxa"/>
          </w:tcPr>
          <w:p w14:paraId="51BF81F1"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CSDG14</w:t>
            </w:r>
          </w:p>
        </w:tc>
        <w:tc>
          <w:tcPr>
            <w:tcW w:w="1276" w:type="dxa"/>
          </w:tcPr>
          <w:p w14:paraId="3AE8D165"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52.34</w:t>
            </w:r>
          </w:p>
        </w:tc>
        <w:tc>
          <w:tcPr>
            <w:tcW w:w="1275" w:type="dxa"/>
          </w:tcPr>
          <w:p w14:paraId="10B5D72D"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54.75</w:t>
            </w:r>
          </w:p>
        </w:tc>
        <w:tc>
          <w:tcPr>
            <w:tcW w:w="1134" w:type="dxa"/>
          </w:tcPr>
          <w:p w14:paraId="2B0C97C4"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10.84</w:t>
            </w:r>
          </w:p>
        </w:tc>
        <w:tc>
          <w:tcPr>
            <w:tcW w:w="1134" w:type="dxa"/>
          </w:tcPr>
          <w:p w14:paraId="1D26F972"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27.41</w:t>
            </w:r>
          </w:p>
        </w:tc>
        <w:tc>
          <w:tcPr>
            <w:tcW w:w="993" w:type="dxa"/>
          </w:tcPr>
          <w:p w14:paraId="7B3C4993"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66.18</w:t>
            </w:r>
          </w:p>
        </w:tc>
      </w:tr>
      <w:tr w:rsidR="0030333D" w14:paraId="322F9996" w14:textId="77777777">
        <w:tc>
          <w:tcPr>
            <w:tcW w:w="1411" w:type="dxa"/>
          </w:tcPr>
          <w:p w14:paraId="65D6FFFB"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CSDG15</w:t>
            </w:r>
          </w:p>
        </w:tc>
        <w:tc>
          <w:tcPr>
            <w:tcW w:w="1276" w:type="dxa"/>
          </w:tcPr>
          <w:p w14:paraId="0427306E"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69.02</w:t>
            </w:r>
          </w:p>
        </w:tc>
        <w:tc>
          <w:tcPr>
            <w:tcW w:w="1275" w:type="dxa"/>
          </w:tcPr>
          <w:p w14:paraId="6E79A32E"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69.96</w:t>
            </w:r>
          </w:p>
        </w:tc>
        <w:tc>
          <w:tcPr>
            <w:tcW w:w="1134" w:type="dxa"/>
          </w:tcPr>
          <w:p w14:paraId="4B7616E5"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11.59</w:t>
            </w:r>
          </w:p>
        </w:tc>
        <w:tc>
          <w:tcPr>
            <w:tcW w:w="1134" w:type="dxa"/>
          </w:tcPr>
          <w:p w14:paraId="0C591A59"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47.76</w:t>
            </w:r>
          </w:p>
        </w:tc>
        <w:tc>
          <w:tcPr>
            <w:tcW w:w="993" w:type="dxa"/>
          </w:tcPr>
          <w:p w14:paraId="515482ED"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84.96</w:t>
            </w:r>
          </w:p>
        </w:tc>
      </w:tr>
      <w:tr w:rsidR="0030333D" w14:paraId="03139068" w14:textId="77777777">
        <w:tc>
          <w:tcPr>
            <w:tcW w:w="1411" w:type="dxa"/>
          </w:tcPr>
          <w:p w14:paraId="6723E103"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CSDG16</w:t>
            </w:r>
          </w:p>
        </w:tc>
        <w:tc>
          <w:tcPr>
            <w:tcW w:w="1276" w:type="dxa"/>
          </w:tcPr>
          <w:p w14:paraId="667C21E7"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79.93</w:t>
            </w:r>
          </w:p>
        </w:tc>
        <w:tc>
          <w:tcPr>
            <w:tcW w:w="1275" w:type="dxa"/>
          </w:tcPr>
          <w:p w14:paraId="432D97C0"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83.44</w:t>
            </w:r>
          </w:p>
        </w:tc>
        <w:tc>
          <w:tcPr>
            <w:tcW w:w="1134" w:type="dxa"/>
          </w:tcPr>
          <w:p w14:paraId="47236BC1"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9.34</w:t>
            </w:r>
          </w:p>
        </w:tc>
        <w:tc>
          <w:tcPr>
            <w:tcW w:w="1134" w:type="dxa"/>
          </w:tcPr>
          <w:p w14:paraId="34E99E23"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55.41</w:t>
            </w:r>
          </w:p>
        </w:tc>
        <w:tc>
          <w:tcPr>
            <w:tcW w:w="993" w:type="dxa"/>
          </w:tcPr>
          <w:p w14:paraId="01646216"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92.94</w:t>
            </w:r>
          </w:p>
        </w:tc>
      </w:tr>
      <w:tr w:rsidR="0030333D" w14:paraId="58941083" w14:textId="77777777">
        <w:tc>
          <w:tcPr>
            <w:tcW w:w="1411" w:type="dxa"/>
            <w:tcBorders>
              <w:bottom w:val="single" w:sz="4" w:space="0" w:color="000000"/>
            </w:tcBorders>
          </w:tcPr>
          <w:p w14:paraId="209791EB" w14:textId="77777777" w:rsidR="0030333D"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CSDG17</w:t>
            </w:r>
          </w:p>
        </w:tc>
        <w:tc>
          <w:tcPr>
            <w:tcW w:w="1276" w:type="dxa"/>
            <w:tcBorders>
              <w:bottom w:val="single" w:sz="4" w:space="0" w:color="000000"/>
            </w:tcBorders>
          </w:tcPr>
          <w:p w14:paraId="71C5A2D2"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65.78</w:t>
            </w:r>
          </w:p>
        </w:tc>
        <w:tc>
          <w:tcPr>
            <w:tcW w:w="1275" w:type="dxa"/>
            <w:tcBorders>
              <w:bottom w:val="single" w:sz="4" w:space="0" w:color="000000"/>
            </w:tcBorders>
          </w:tcPr>
          <w:p w14:paraId="4604378E"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63.11</w:t>
            </w:r>
          </w:p>
        </w:tc>
        <w:tc>
          <w:tcPr>
            <w:tcW w:w="1134" w:type="dxa"/>
            <w:tcBorders>
              <w:bottom w:val="single" w:sz="4" w:space="0" w:color="000000"/>
            </w:tcBorders>
          </w:tcPr>
          <w:p w14:paraId="2AD41BFA"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15.08</w:t>
            </w:r>
          </w:p>
        </w:tc>
        <w:tc>
          <w:tcPr>
            <w:tcW w:w="1134" w:type="dxa"/>
            <w:tcBorders>
              <w:bottom w:val="single" w:sz="4" w:space="0" w:color="000000"/>
            </w:tcBorders>
          </w:tcPr>
          <w:p w14:paraId="2642140C"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33.42</w:t>
            </w:r>
          </w:p>
        </w:tc>
        <w:tc>
          <w:tcPr>
            <w:tcW w:w="993" w:type="dxa"/>
            <w:tcBorders>
              <w:bottom w:val="single" w:sz="4" w:space="0" w:color="000000"/>
            </w:tcBorders>
          </w:tcPr>
          <w:p w14:paraId="5007DC1C" w14:textId="77777777" w:rsidR="0030333D" w:rsidRDefault="00000000">
            <w:pPr>
              <w:spacing w:line="360" w:lineRule="auto"/>
              <w:jc w:val="right"/>
              <w:rPr>
                <w:rFonts w:ascii="Times New Roman" w:eastAsia="Times New Roman" w:hAnsi="Times New Roman" w:cs="Times New Roman"/>
              </w:rPr>
            </w:pPr>
            <w:r>
              <w:rPr>
                <w:rFonts w:ascii="Times New Roman" w:eastAsia="Times New Roman" w:hAnsi="Times New Roman" w:cs="Times New Roman"/>
              </w:rPr>
              <w:t>99.57</w:t>
            </w:r>
          </w:p>
        </w:tc>
      </w:tr>
    </w:tbl>
    <w:p w14:paraId="434A5279" w14:textId="77777777" w:rsidR="0030333D" w:rsidRDefault="0030333D">
      <w:pPr>
        <w:rPr>
          <w:rFonts w:ascii="Times New Roman" w:eastAsia="Times New Roman" w:hAnsi="Times New Roman" w:cs="Times New Roman"/>
          <w:sz w:val="24"/>
          <w:szCs w:val="24"/>
        </w:rPr>
      </w:pPr>
    </w:p>
    <w:p w14:paraId="154AC07B" w14:textId="77777777" w:rsidR="0030333D" w:rsidRDefault="00000000">
      <w:pPr>
        <w:rPr>
          <w:rFonts w:ascii="Times New Roman" w:eastAsia="Times New Roman" w:hAnsi="Times New Roman" w:cs="Times New Roman"/>
          <w:sz w:val="24"/>
          <w:szCs w:val="24"/>
        </w:rPr>
      </w:pPr>
      <w:r>
        <w:br w:type="page"/>
      </w:r>
    </w:p>
    <w:p w14:paraId="6FC6DDF6" w14:textId="77777777" w:rsidR="0030333D" w:rsidRDefault="00000000">
      <w:pPr>
        <w:rPr>
          <w:rFonts w:ascii="Times New Roman" w:eastAsia="Times New Roman" w:hAnsi="Times New Roman" w:cs="Times New Roman"/>
        </w:rPr>
      </w:pPr>
      <w:r>
        <w:rPr>
          <w:rFonts w:ascii="Times New Roman" w:eastAsia="Times New Roman" w:hAnsi="Times New Roman" w:cs="Times New Roman"/>
          <w:b/>
        </w:rPr>
        <w:lastRenderedPageBreak/>
        <w:t>Table 3: Number of firms and national SDG Progress scores for countries in sample</w:t>
      </w:r>
    </w:p>
    <w:tbl>
      <w:tblPr>
        <w:tblStyle w:val="affffa"/>
        <w:tblW w:w="7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7"/>
        <w:gridCol w:w="1984"/>
        <w:gridCol w:w="1260"/>
        <w:gridCol w:w="1435"/>
      </w:tblGrid>
      <w:tr w:rsidR="0030333D" w14:paraId="37A96E9C" w14:textId="77777777">
        <w:trPr>
          <w:trHeight w:val="505"/>
        </w:trPr>
        <w:tc>
          <w:tcPr>
            <w:tcW w:w="2547" w:type="dxa"/>
            <w:tcBorders>
              <w:top w:val="single" w:sz="4" w:space="0" w:color="000000"/>
              <w:bottom w:val="single" w:sz="4" w:space="0" w:color="000000"/>
            </w:tcBorders>
            <w:vAlign w:val="bottom"/>
          </w:tcPr>
          <w:p w14:paraId="3B3E17CF"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Geo-Institutional Group</w:t>
            </w:r>
          </w:p>
        </w:tc>
        <w:tc>
          <w:tcPr>
            <w:tcW w:w="1984" w:type="dxa"/>
            <w:tcBorders>
              <w:top w:val="single" w:sz="4" w:space="0" w:color="000000"/>
              <w:bottom w:val="single" w:sz="4" w:space="0" w:color="000000"/>
            </w:tcBorders>
            <w:vAlign w:val="bottom"/>
          </w:tcPr>
          <w:p w14:paraId="58243A56"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Country</w:t>
            </w:r>
          </w:p>
        </w:tc>
        <w:tc>
          <w:tcPr>
            <w:tcW w:w="1260" w:type="dxa"/>
            <w:tcBorders>
              <w:top w:val="single" w:sz="4" w:space="0" w:color="000000"/>
              <w:bottom w:val="single" w:sz="4" w:space="0" w:color="000000"/>
            </w:tcBorders>
            <w:vAlign w:val="bottom"/>
          </w:tcPr>
          <w:p w14:paraId="00DEE2CB"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Number of Firms</w:t>
            </w:r>
          </w:p>
        </w:tc>
        <w:tc>
          <w:tcPr>
            <w:tcW w:w="1435" w:type="dxa"/>
            <w:tcBorders>
              <w:top w:val="single" w:sz="4" w:space="0" w:color="000000"/>
              <w:bottom w:val="single" w:sz="4" w:space="0" w:color="000000"/>
            </w:tcBorders>
            <w:vAlign w:val="bottom"/>
          </w:tcPr>
          <w:p w14:paraId="01AF284B"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Country SDG Score</w:t>
            </w:r>
          </w:p>
        </w:tc>
      </w:tr>
      <w:tr w:rsidR="0030333D" w14:paraId="6792D2C9" w14:textId="77777777">
        <w:trPr>
          <w:trHeight w:val="405"/>
        </w:trPr>
        <w:tc>
          <w:tcPr>
            <w:tcW w:w="2547" w:type="dxa"/>
            <w:tcBorders>
              <w:top w:val="single" w:sz="4" w:space="0" w:color="000000"/>
            </w:tcBorders>
            <w:vAlign w:val="bottom"/>
          </w:tcPr>
          <w:p w14:paraId="7A051FD5"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Anglo-Saxon</w:t>
            </w:r>
          </w:p>
        </w:tc>
        <w:tc>
          <w:tcPr>
            <w:tcW w:w="1984" w:type="dxa"/>
            <w:tcBorders>
              <w:top w:val="single" w:sz="4" w:space="0" w:color="000000"/>
            </w:tcBorders>
            <w:vAlign w:val="bottom"/>
          </w:tcPr>
          <w:p w14:paraId="31A33913"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Australia</w:t>
            </w:r>
          </w:p>
        </w:tc>
        <w:tc>
          <w:tcPr>
            <w:tcW w:w="1260" w:type="dxa"/>
            <w:tcBorders>
              <w:top w:val="single" w:sz="4" w:space="0" w:color="000000"/>
            </w:tcBorders>
            <w:vAlign w:val="bottom"/>
          </w:tcPr>
          <w:p w14:paraId="5DD149C5"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7</w:t>
            </w:r>
          </w:p>
        </w:tc>
        <w:tc>
          <w:tcPr>
            <w:tcW w:w="1435" w:type="dxa"/>
            <w:tcBorders>
              <w:top w:val="single" w:sz="4" w:space="0" w:color="000000"/>
            </w:tcBorders>
            <w:vAlign w:val="bottom"/>
          </w:tcPr>
          <w:p w14:paraId="4107E96D"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73.89</w:t>
            </w:r>
          </w:p>
        </w:tc>
      </w:tr>
      <w:tr w:rsidR="0030333D" w14:paraId="2FA320C0" w14:textId="77777777">
        <w:tc>
          <w:tcPr>
            <w:tcW w:w="2547" w:type="dxa"/>
            <w:vAlign w:val="bottom"/>
          </w:tcPr>
          <w:p w14:paraId="06AD6135" w14:textId="77777777" w:rsidR="0030333D" w:rsidRDefault="0030333D">
            <w:pPr>
              <w:rPr>
                <w:rFonts w:ascii="Times New Roman" w:eastAsia="Times New Roman" w:hAnsi="Times New Roman" w:cs="Times New Roman"/>
              </w:rPr>
            </w:pPr>
          </w:p>
        </w:tc>
        <w:tc>
          <w:tcPr>
            <w:tcW w:w="1984" w:type="dxa"/>
            <w:vAlign w:val="bottom"/>
          </w:tcPr>
          <w:p w14:paraId="4476EF37"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Canada</w:t>
            </w:r>
          </w:p>
        </w:tc>
        <w:tc>
          <w:tcPr>
            <w:tcW w:w="1260" w:type="dxa"/>
            <w:vAlign w:val="bottom"/>
          </w:tcPr>
          <w:p w14:paraId="21C3FD54"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2</w:t>
            </w:r>
          </w:p>
        </w:tc>
        <w:tc>
          <w:tcPr>
            <w:tcW w:w="1435" w:type="dxa"/>
            <w:vAlign w:val="bottom"/>
          </w:tcPr>
          <w:p w14:paraId="76DA4C04"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77.89</w:t>
            </w:r>
          </w:p>
        </w:tc>
      </w:tr>
      <w:tr w:rsidR="0030333D" w14:paraId="0B9916A4" w14:textId="77777777">
        <w:tc>
          <w:tcPr>
            <w:tcW w:w="2547" w:type="dxa"/>
            <w:vAlign w:val="bottom"/>
          </w:tcPr>
          <w:p w14:paraId="202C43CA" w14:textId="77777777" w:rsidR="0030333D" w:rsidRDefault="0030333D">
            <w:pPr>
              <w:rPr>
                <w:rFonts w:ascii="Times New Roman" w:eastAsia="Times New Roman" w:hAnsi="Times New Roman" w:cs="Times New Roman"/>
              </w:rPr>
            </w:pPr>
          </w:p>
        </w:tc>
        <w:tc>
          <w:tcPr>
            <w:tcW w:w="1984" w:type="dxa"/>
            <w:vAlign w:val="bottom"/>
          </w:tcPr>
          <w:p w14:paraId="5D314E49"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India</w:t>
            </w:r>
          </w:p>
        </w:tc>
        <w:tc>
          <w:tcPr>
            <w:tcW w:w="1260" w:type="dxa"/>
            <w:vAlign w:val="bottom"/>
          </w:tcPr>
          <w:p w14:paraId="47951F4F"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4</w:t>
            </w:r>
          </w:p>
        </w:tc>
        <w:tc>
          <w:tcPr>
            <w:tcW w:w="1435" w:type="dxa"/>
            <w:vAlign w:val="bottom"/>
          </w:tcPr>
          <w:p w14:paraId="3EDEFCE8"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61.08</w:t>
            </w:r>
          </w:p>
        </w:tc>
      </w:tr>
      <w:tr w:rsidR="0030333D" w14:paraId="0D4CC408" w14:textId="77777777">
        <w:tc>
          <w:tcPr>
            <w:tcW w:w="2547" w:type="dxa"/>
            <w:vAlign w:val="bottom"/>
          </w:tcPr>
          <w:p w14:paraId="0B065A90" w14:textId="77777777" w:rsidR="0030333D" w:rsidRDefault="0030333D">
            <w:pPr>
              <w:rPr>
                <w:rFonts w:ascii="Times New Roman" w:eastAsia="Times New Roman" w:hAnsi="Times New Roman" w:cs="Times New Roman"/>
              </w:rPr>
            </w:pPr>
          </w:p>
        </w:tc>
        <w:tc>
          <w:tcPr>
            <w:tcW w:w="1984" w:type="dxa"/>
            <w:vAlign w:val="bottom"/>
          </w:tcPr>
          <w:p w14:paraId="0DCCF6A5"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United Kingdom</w:t>
            </w:r>
          </w:p>
        </w:tc>
        <w:tc>
          <w:tcPr>
            <w:tcW w:w="1260" w:type="dxa"/>
            <w:vAlign w:val="bottom"/>
          </w:tcPr>
          <w:p w14:paraId="0B1ED17D"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6</w:t>
            </w:r>
          </w:p>
        </w:tc>
        <w:tc>
          <w:tcPr>
            <w:tcW w:w="1435" w:type="dxa"/>
            <w:vAlign w:val="bottom"/>
          </w:tcPr>
          <w:p w14:paraId="38576F11"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79.38</w:t>
            </w:r>
          </w:p>
        </w:tc>
      </w:tr>
      <w:tr w:rsidR="0030333D" w14:paraId="5CB298F4" w14:textId="77777777">
        <w:tc>
          <w:tcPr>
            <w:tcW w:w="2547" w:type="dxa"/>
            <w:vAlign w:val="bottom"/>
          </w:tcPr>
          <w:p w14:paraId="55092D1D" w14:textId="77777777" w:rsidR="0030333D" w:rsidRDefault="0030333D">
            <w:pPr>
              <w:rPr>
                <w:rFonts w:ascii="Times New Roman" w:eastAsia="Times New Roman" w:hAnsi="Times New Roman" w:cs="Times New Roman"/>
              </w:rPr>
            </w:pPr>
          </w:p>
        </w:tc>
        <w:tc>
          <w:tcPr>
            <w:tcW w:w="1984" w:type="dxa"/>
            <w:vAlign w:val="bottom"/>
          </w:tcPr>
          <w:p w14:paraId="5C1492F1"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United States</w:t>
            </w:r>
          </w:p>
        </w:tc>
        <w:tc>
          <w:tcPr>
            <w:tcW w:w="1260" w:type="dxa"/>
            <w:vAlign w:val="bottom"/>
          </w:tcPr>
          <w:p w14:paraId="1C56067D"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22</w:t>
            </w:r>
          </w:p>
        </w:tc>
        <w:tc>
          <w:tcPr>
            <w:tcW w:w="1435" w:type="dxa"/>
            <w:vAlign w:val="bottom"/>
          </w:tcPr>
          <w:p w14:paraId="2B43A235"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74.52</w:t>
            </w:r>
          </w:p>
        </w:tc>
      </w:tr>
      <w:tr w:rsidR="0030333D" w14:paraId="799EB2D4" w14:textId="77777777">
        <w:tc>
          <w:tcPr>
            <w:tcW w:w="2547" w:type="dxa"/>
            <w:vAlign w:val="bottom"/>
          </w:tcPr>
          <w:p w14:paraId="4AA2B057" w14:textId="77777777" w:rsidR="0030333D" w:rsidRDefault="0030333D">
            <w:pPr>
              <w:rPr>
                <w:rFonts w:ascii="Times New Roman" w:eastAsia="Times New Roman" w:hAnsi="Times New Roman" w:cs="Times New Roman"/>
              </w:rPr>
            </w:pPr>
          </w:p>
          <w:p w14:paraId="5E53E26E"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Asia-Pacific</w:t>
            </w:r>
          </w:p>
        </w:tc>
        <w:tc>
          <w:tcPr>
            <w:tcW w:w="1984" w:type="dxa"/>
            <w:vAlign w:val="bottom"/>
          </w:tcPr>
          <w:p w14:paraId="53227438" w14:textId="77777777" w:rsidR="0030333D" w:rsidRDefault="0030333D">
            <w:pPr>
              <w:rPr>
                <w:rFonts w:ascii="Times New Roman" w:eastAsia="Times New Roman" w:hAnsi="Times New Roman" w:cs="Times New Roman"/>
              </w:rPr>
            </w:pPr>
          </w:p>
          <w:p w14:paraId="6BD17583"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Japan</w:t>
            </w:r>
          </w:p>
        </w:tc>
        <w:tc>
          <w:tcPr>
            <w:tcW w:w="1260" w:type="dxa"/>
            <w:vAlign w:val="bottom"/>
          </w:tcPr>
          <w:p w14:paraId="5D961561"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15</w:t>
            </w:r>
          </w:p>
        </w:tc>
        <w:tc>
          <w:tcPr>
            <w:tcW w:w="1435" w:type="dxa"/>
            <w:vAlign w:val="bottom"/>
          </w:tcPr>
          <w:p w14:paraId="61BF0E91"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78.92</w:t>
            </w:r>
          </w:p>
        </w:tc>
      </w:tr>
      <w:tr w:rsidR="0030333D" w14:paraId="4BD41406" w14:textId="77777777">
        <w:tc>
          <w:tcPr>
            <w:tcW w:w="2547" w:type="dxa"/>
            <w:vAlign w:val="bottom"/>
          </w:tcPr>
          <w:p w14:paraId="583F6D45" w14:textId="77777777" w:rsidR="0030333D" w:rsidRDefault="0030333D">
            <w:pPr>
              <w:rPr>
                <w:rFonts w:ascii="Times New Roman" w:eastAsia="Times New Roman" w:hAnsi="Times New Roman" w:cs="Times New Roman"/>
              </w:rPr>
            </w:pPr>
          </w:p>
        </w:tc>
        <w:tc>
          <w:tcPr>
            <w:tcW w:w="1984" w:type="dxa"/>
            <w:vAlign w:val="bottom"/>
          </w:tcPr>
          <w:p w14:paraId="144FCC75"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South Korea</w:t>
            </w:r>
          </w:p>
        </w:tc>
        <w:tc>
          <w:tcPr>
            <w:tcW w:w="1260" w:type="dxa"/>
            <w:vAlign w:val="bottom"/>
          </w:tcPr>
          <w:p w14:paraId="5463568E"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11</w:t>
            </w:r>
          </w:p>
        </w:tc>
        <w:tc>
          <w:tcPr>
            <w:tcW w:w="1435" w:type="dxa"/>
            <w:vAlign w:val="bottom"/>
          </w:tcPr>
          <w:p w14:paraId="01FC6C51"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78.33</w:t>
            </w:r>
          </w:p>
        </w:tc>
      </w:tr>
      <w:tr w:rsidR="0030333D" w14:paraId="011732B6" w14:textId="77777777">
        <w:tc>
          <w:tcPr>
            <w:tcW w:w="2547" w:type="dxa"/>
            <w:vAlign w:val="bottom"/>
          </w:tcPr>
          <w:p w14:paraId="221117A8" w14:textId="77777777" w:rsidR="0030333D" w:rsidRDefault="0030333D">
            <w:pPr>
              <w:rPr>
                <w:rFonts w:ascii="Times New Roman" w:eastAsia="Times New Roman" w:hAnsi="Times New Roman" w:cs="Times New Roman"/>
              </w:rPr>
            </w:pPr>
          </w:p>
        </w:tc>
        <w:tc>
          <w:tcPr>
            <w:tcW w:w="1984" w:type="dxa"/>
            <w:vAlign w:val="bottom"/>
          </w:tcPr>
          <w:p w14:paraId="04C53A9D"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Thailand</w:t>
            </w:r>
          </w:p>
        </w:tc>
        <w:tc>
          <w:tcPr>
            <w:tcW w:w="1260" w:type="dxa"/>
            <w:vAlign w:val="bottom"/>
          </w:tcPr>
          <w:p w14:paraId="1D663D74"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12</w:t>
            </w:r>
          </w:p>
        </w:tc>
        <w:tc>
          <w:tcPr>
            <w:tcW w:w="1435" w:type="dxa"/>
            <w:vAlign w:val="bottom"/>
          </w:tcPr>
          <w:p w14:paraId="76504941"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73.00</w:t>
            </w:r>
          </w:p>
        </w:tc>
      </w:tr>
      <w:tr w:rsidR="0030333D" w14:paraId="0D723CAD" w14:textId="77777777">
        <w:tc>
          <w:tcPr>
            <w:tcW w:w="2547" w:type="dxa"/>
            <w:vAlign w:val="bottom"/>
          </w:tcPr>
          <w:p w14:paraId="72011966" w14:textId="77777777" w:rsidR="0030333D" w:rsidRDefault="0030333D">
            <w:pPr>
              <w:rPr>
                <w:rFonts w:ascii="Times New Roman" w:eastAsia="Times New Roman" w:hAnsi="Times New Roman" w:cs="Times New Roman"/>
              </w:rPr>
            </w:pPr>
          </w:p>
          <w:p w14:paraId="2F38617B"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Continental European</w:t>
            </w:r>
          </w:p>
        </w:tc>
        <w:tc>
          <w:tcPr>
            <w:tcW w:w="1984" w:type="dxa"/>
            <w:vAlign w:val="bottom"/>
          </w:tcPr>
          <w:p w14:paraId="210081A1"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Belgium</w:t>
            </w:r>
          </w:p>
        </w:tc>
        <w:tc>
          <w:tcPr>
            <w:tcW w:w="1260" w:type="dxa"/>
            <w:vAlign w:val="bottom"/>
          </w:tcPr>
          <w:p w14:paraId="2B79BE14"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1</w:t>
            </w:r>
          </w:p>
        </w:tc>
        <w:tc>
          <w:tcPr>
            <w:tcW w:w="1435" w:type="dxa"/>
            <w:vAlign w:val="bottom"/>
          </w:tcPr>
          <w:p w14:paraId="787DCEC4"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78.89</w:t>
            </w:r>
          </w:p>
        </w:tc>
      </w:tr>
      <w:tr w:rsidR="0030333D" w14:paraId="2F4BF425" w14:textId="77777777">
        <w:tc>
          <w:tcPr>
            <w:tcW w:w="2547" w:type="dxa"/>
            <w:vAlign w:val="bottom"/>
          </w:tcPr>
          <w:p w14:paraId="728E7BE8" w14:textId="77777777" w:rsidR="0030333D" w:rsidRDefault="0030333D">
            <w:pPr>
              <w:rPr>
                <w:rFonts w:ascii="Times New Roman" w:eastAsia="Times New Roman" w:hAnsi="Times New Roman" w:cs="Times New Roman"/>
              </w:rPr>
            </w:pPr>
          </w:p>
        </w:tc>
        <w:tc>
          <w:tcPr>
            <w:tcW w:w="1984" w:type="dxa"/>
            <w:vAlign w:val="bottom"/>
          </w:tcPr>
          <w:p w14:paraId="5F3462EC"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Brazil</w:t>
            </w:r>
          </w:p>
        </w:tc>
        <w:tc>
          <w:tcPr>
            <w:tcW w:w="1260" w:type="dxa"/>
            <w:vAlign w:val="bottom"/>
          </w:tcPr>
          <w:p w14:paraId="77C3EA72"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3</w:t>
            </w:r>
          </w:p>
        </w:tc>
        <w:tc>
          <w:tcPr>
            <w:tcW w:w="1435" w:type="dxa"/>
            <w:vAlign w:val="bottom"/>
          </w:tcPr>
          <w:p w14:paraId="32061B24"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70.62</w:t>
            </w:r>
          </w:p>
        </w:tc>
      </w:tr>
      <w:tr w:rsidR="0030333D" w14:paraId="584D83BF" w14:textId="77777777">
        <w:tc>
          <w:tcPr>
            <w:tcW w:w="2547" w:type="dxa"/>
            <w:vAlign w:val="bottom"/>
          </w:tcPr>
          <w:p w14:paraId="0FE1EE89" w14:textId="77777777" w:rsidR="0030333D" w:rsidRDefault="0030333D">
            <w:pPr>
              <w:rPr>
                <w:rFonts w:ascii="Times New Roman" w:eastAsia="Times New Roman" w:hAnsi="Times New Roman" w:cs="Times New Roman"/>
              </w:rPr>
            </w:pPr>
          </w:p>
        </w:tc>
        <w:tc>
          <w:tcPr>
            <w:tcW w:w="1984" w:type="dxa"/>
            <w:vAlign w:val="bottom"/>
          </w:tcPr>
          <w:p w14:paraId="6988AEFF"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Chile</w:t>
            </w:r>
          </w:p>
        </w:tc>
        <w:tc>
          <w:tcPr>
            <w:tcW w:w="1260" w:type="dxa"/>
            <w:vAlign w:val="bottom"/>
          </w:tcPr>
          <w:p w14:paraId="3BAE5370"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2</w:t>
            </w:r>
          </w:p>
        </w:tc>
        <w:tc>
          <w:tcPr>
            <w:tcW w:w="1435" w:type="dxa"/>
            <w:vAlign w:val="bottom"/>
          </w:tcPr>
          <w:p w14:paraId="29C3D19F"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75.61</w:t>
            </w:r>
          </w:p>
        </w:tc>
      </w:tr>
      <w:tr w:rsidR="0030333D" w14:paraId="079656FC" w14:textId="77777777">
        <w:tc>
          <w:tcPr>
            <w:tcW w:w="2547" w:type="dxa"/>
            <w:vAlign w:val="bottom"/>
          </w:tcPr>
          <w:p w14:paraId="30C41F10" w14:textId="77777777" w:rsidR="0030333D" w:rsidRDefault="0030333D">
            <w:pPr>
              <w:rPr>
                <w:rFonts w:ascii="Times New Roman" w:eastAsia="Times New Roman" w:hAnsi="Times New Roman" w:cs="Times New Roman"/>
              </w:rPr>
            </w:pPr>
          </w:p>
        </w:tc>
        <w:tc>
          <w:tcPr>
            <w:tcW w:w="1984" w:type="dxa"/>
            <w:vAlign w:val="bottom"/>
          </w:tcPr>
          <w:p w14:paraId="6EE87922"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Finland</w:t>
            </w:r>
          </w:p>
        </w:tc>
        <w:tc>
          <w:tcPr>
            <w:tcW w:w="1260" w:type="dxa"/>
            <w:vAlign w:val="bottom"/>
          </w:tcPr>
          <w:p w14:paraId="677C02C3"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5</w:t>
            </w:r>
          </w:p>
        </w:tc>
        <w:tc>
          <w:tcPr>
            <w:tcW w:w="1435" w:type="dxa"/>
            <w:vAlign w:val="bottom"/>
          </w:tcPr>
          <w:p w14:paraId="1B82E4F5"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82.82</w:t>
            </w:r>
          </w:p>
        </w:tc>
      </w:tr>
      <w:tr w:rsidR="0030333D" w14:paraId="668F9748" w14:textId="77777777">
        <w:tc>
          <w:tcPr>
            <w:tcW w:w="2547" w:type="dxa"/>
            <w:vAlign w:val="bottom"/>
          </w:tcPr>
          <w:p w14:paraId="2D93BC11" w14:textId="77777777" w:rsidR="0030333D" w:rsidRDefault="0030333D">
            <w:pPr>
              <w:rPr>
                <w:rFonts w:ascii="Times New Roman" w:eastAsia="Times New Roman" w:hAnsi="Times New Roman" w:cs="Times New Roman"/>
              </w:rPr>
            </w:pPr>
          </w:p>
        </w:tc>
        <w:tc>
          <w:tcPr>
            <w:tcW w:w="1984" w:type="dxa"/>
            <w:vAlign w:val="bottom"/>
          </w:tcPr>
          <w:p w14:paraId="17A2ACB3"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France</w:t>
            </w:r>
          </w:p>
        </w:tc>
        <w:tc>
          <w:tcPr>
            <w:tcW w:w="1260" w:type="dxa"/>
            <w:vAlign w:val="bottom"/>
          </w:tcPr>
          <w:p w14:paraId="56C7FE4E"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13</w:t>
            </w:r>
          </w:p>
        </w:tc>
        <w:tc>
          <w:tcPr>
            <w:tcW w:w="1435" w:type="dxa"/>
            <w:vAlign w:val="bottom"/>
          </w:tcPr>
          <w:p w14:paraId="5173E7C7"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81.49</w:t>
            </w:r>
          </w:p>
        </w:tc>
      </w:tr>
      <w:tr w:rsidR="0030333D" w14:paraId="2F305D4C" w14:textId="77777777">
        <w:tc>
          <w:tcPr>
            <w:tcW w:w="2547" w:type="dxa"/>
            <w:vAlign w:val="bottom"/>
          </w:tcPr>
          <w:p w14:paraId="2DAB84C4" w14:textId="77777777" w:rsidR="0030333D" w:rsidRDefault="0030333D">
            <w:pPr>
              <w:rPr>
                <w:rFonts w:ascii="Times New Roman" w:eastAsia="Times New Roman" w:hAnsi="Times New Roman" w:cs="Times New Roman"/>
              </w:rPr>
            </w:pPr>
          </w:p>
        </w:tc>
        <w:tc>
          <w:tcPr>
            <w:tcW w:w="1984" w:type="dxa"/>
            <w:vAlign w:val="bottom"/>
          </w:tcPr>
          <w:p w14:paraId="2811245A"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Germany</w:t>
            </w:r>
          </w:p>
        </w:tc>
        <w:tc>
          <w:tcPr>
            <w:tcW w:w="1260" w:type="dxa"/>
            <w:vAlign w:val="bottom"/>
          </w:tcPr>
          <w:p w14:paraId="34AC5FAC"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9</w:t>
            </w:r>
          </w:p>
        </w:tc>
        <w:tc>
          <w:tcPr>
            <w:tcW w:w="1435" w:type="dxa"/>
            <w:vAlign w:val="bottom"/>
          </w:tcPr>
          <w:p w14:paraId="53DF0E31"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81.07</w:t>
            </w:r>
          </w:p>
        </w:tc>
      </w:tr>
      <w:tr w:rsidR="0030333D" w14:paraId="6F2113B9" w14:textId="77777777">
        <w:tc>
          <w:tcPr>
            <w:tcW w:w="2547" w:type="dxa"/>
            <w:vAlign w:val="bottom"/>
          </w:tcPr>
          <w:p w14:paraId="6D77EADF" w14:textId="77777777" w:rsidR="0030333D" w:rsidRDefault="0030333D">
            <w:pPr>
              <w:rPr>
                <w:rFonts w:ascii="Times New Roman" w:eastAsia="Times New Roman" w:hAnsi="Times New Roman" w:cs="Times New Roman"/>
              </w:rPr>
            </w:pPr>
          </w:p>
        </w:tc>
        <w:tc>
          <w:tcPr>
            <w:tcW w:w="1984" w:type="dxa"/>
            <w:vAlign w:val="bottom"/>
          </w:tcPr>
          <w:p w14:paraId="2C7A6B0B"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Ireland</w:t>
            </w:r>
          </w:p>
        </w:tc>
        <w:tc>
          <w:tcPr>
            <w:tcW w:w="1260" w:type="dxa"/>
            <w:vAlign w:val="bottom"/>
          </w:tcPr>
          <w:p w14:paraId="6F694C8D"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1</w:t>
            </w:r>
          </w:p>
        </w:tc>
        <w:tc>
          <w:tcPr>
            <w:tcW w:w="1435" w:type="dxa"/>
            <w:vAlign w:val="bottom"/>
          </w:tcPr>
          <w:p w14:paraId="35AAA8F8"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78.22</w:t>
            </w:r>
          </w:p>
        </w:tc>
      </w:tr>
      <w:tr w:rsidR="0030333D" w14:paraId="3F4D53F1" w14:textId="77777777">
        <w:tc>
          <w:tcPr>
            <w:tcW w:w="2547" w:type="dxa"/>
            <w:vAlign w:val="bottom"/>
          </w:tcPr>
          <w:p w14:paraId="62FE940B" w14:textId="77777777" w:rsidR="0030333D" w:rsidRDefault="0030333D">
            <w:pPr>
              <w:rPr>
                <w:rFonts w:ascii="Times New Roman" w:eastAsia="Times New Roman" w:hAnsi="Times New Roman" w:cs="Times New Roman"/>
              </w:rPr>
            </w:pPr>
          </w:p>
        </w:tc>
        <w:tc>
          <w:tcPr>
            <w:tcW w:w="1984" w:type="dxa"/>
            <w:vAlign w:val="bottom"/>
          </w:tcPr>
          <w:p w14:paraId="5B82634E"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Italy</w:t>
            </w:r>
          </w:p>
        </w:tc>
        <w:tc>
          <w:tcPr>
            <w:tcW w:w="1260" w:type="dxa"/>
            <w:vAlign w:val="bottom"/>
          </w:tcPr>
          <w:p w14:paraId="34288419"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11</w:t>
            </w:r>
          </w:p>
        </w:tc>
        <w:tc>
          <w:tcPr>
            <w:tcW w:w="1435" w:type="dxa"/>
            <w:vAlign w:val="bottom"/>
          </w:tcPr>
          <w:p w14:paraId="116087FB"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75.79</w:t>
            </w:r>
          </w:p>
        </w:tc>
      </w:tr>
      <w:tr w:rsidR="0030333D" w14:paraId="5C05E0F8" w14:textId="77777777">
        <w:tc>
          <w:tcPr>
            <w:tcW w:w="2547" w:type="dxa"/>
            <w:vAlign w:val="bottom"/>
          </w:tcPr>
          <w:p w14:paraId="149A2164" w14:textId="77777777" w:rsidR="0030333D" w:rsidRDefault="0030333D">
            <w:pPr>
              <w:rPr>
                <w:rFonts w:ascii="Times New Roman" w:eastAsia="Times New Roman" w:hAnsi="Times New Roman" w:cs="Times New Roman"/>
              </w:rPr>
            </w:pPr>
          </w:p>
        </w:tc>
        <w:tc>
          <w:tcPr>
            <w:tcW w:w="1984" w:type="dxa"/>
            <w:vAlign w:val="bottom"/>
          </w:tcPr>
          <w:p w14:paraId="77FFAED3"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Netherlands</w:t>
            </w:r>
          </w:p>
        </w:tc>
        <w:tc>
          <w:tcPr>
            <w:tcW w:w="1260" w:type="dxa"/>
            <w:vAlign w:val="bottom"/>
          </w:tcPr>
          <w:p w14:paraId="26E2C905"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3</w:t>
            </w:r>
          </w:p>
        </w:tc>
        <w:tc>
          <w:tcPr>
            <w:tcW w:w="1435" w:type="dxa"/>
            <w:vAlign w:val="bottom"/>
          </w:tcPr>
          <w:p w14:paraId="65467BBD"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80.38</w:t>
            </w:r>
          </w:p>
        </w:tc>
      </w:tr>
      <w:tr w:rsidR="0030333D" w14:paraId="32233EAD" w14:textId="77777777">
        <w:tc>
          <w:tcPr>
            <w:tcW w:w="2547" w:type="dxa"/>
            <w:vAlign w:val="bottom"/>
          </w:tcPr>
          <w:p w14:paraId="689465BB" w14:textId="77777777" w:rsidR="0030333D" w:rsidRDefault="0030333D">
            <w:pPr>
              <w:rPr>
                <w:rFonts w:ascii="Times New Roman" w:eastAsia="Times New Roman" w:hAnsi="Times New Roman" w:cs="Times New Roman"/>
              </w:rPr>
            </w:pPr>
          </w:p>
        </w:tc>
        <w:tc>
          <w:tcPr>
            <w:tcW w:w="1984" w:type="dxa"/>
            <w:vAlign w:val="bottom"/>
          </w:tcPr>
          <w:p w14:paraId="200F9665"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Norway</w:t>
            </w:r>
          </w:p>
        </w:tc>
        <w:tc>
          <w:tcPr>
            <w:tcW w:w="1260" w:type="dxa"/>
            <w:vAlign w:val="bottom"/>
          </w:tcPr>
          <w:p w14:paraId="110963E8"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1</w:t>
            </w:r>
          </w:p>
        </w:tc>
        <w:tc>
          <w:tcPr>
            <w:tcW w:w="1435" w:type="dxa"/>
            <w:vAlign w:val="bottom"/>
          </w:tcPr>
          <w:p w14:paraId="304A6C23"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80.66</w:t>
            </w:r>
          </w:p>
        </w:tc>
      </w:tr>
      <w:tr w:rsidR="0030333D" w14:paraId="2C0933CA" w14:textId="77777777">
        <w:tc>
          <w:tcPr>
            <w:tcW w:w="2547" w:type="dxa"/>
            <w:vAlign w:val="bottom"/>
          </w:tcPr>
          <w:p w14:paraId="0D284306" w14:textId="77777777" w:rsidR="0030333D" w:rsidRDefault="0030333D">
            <w:pPr>
              <w:rPr>
                <w:rFonts w:ascii="Times New Roman" w:eastAsia="Times New Roman" w:hAnsi="Times New Roman" w:cs="Times New Roman"/>
              </w:rPr>
            </w:pPr>
          </w:p>
        </w:tc>
        <w:tc>
          <w:tcPr>
            <w:tcW w:w="1984" w:type="dxa"/>
            <w:vAlign w:val="bottom"/>
          </w:tcPr>
          <w:p w14:paraId="5C9FFE4A"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Portugal</w:t>
            </w:r>
          </w:p>
        </w:tc>
        <w:tc>
          <w:tcPr>
            <w:tcW w:w="1260" w:type="dxa"/>
            <w:vAlign w:val="bottom"/>
          </w:tcPr>
          <w:p w14:paraId="00EB572C"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2</w:t>
            </w:r>
          </w:p>
        </w:tc>
        <w:tc>
          <w:tcPr>
            <w:tcW w:w="1435" w:type="dxa"/>
            <w:vAlign w:val="bottom"/>
          </w:tcPr>
          <w:p w14:paraId="5F7BD0E1"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76.43</w:t>
            </w:r>
          </w:p>
        </w:tc>
      </w:tr>
      <w:tr w:rsidR="0030333D" w14:paraId="5A895EA2" w14:textId="77777777">
        <w:tc>
          <w:tcPr>
            <w:tcW w:w="2547" w:type="dxa"/>
            <w:vAlign w:val="bottom"/>
          </w:tcPr>
          <w:p w14:paraId="78148879" w14:textId="77777777" w:rsidR="0030333D" w:rsidRDefault="0030333D">
            <w:pPr>
              <w:rPr>
                <w:rFonts w:ascii="Times New Roman" w:eastAsia="Times New Roman" w:hAnsi="Times New Roman" w:cs="Times New Roman"/>
              </w:rPr>
            </w:pPr>
          </w:p>
        </w:tc>
        <w:tc>
          <w:tcPr>
            <w:tcW w:w="1984" w:type="dxa"/>
            <w:vAlign w:val="bottom"/>
          </w:tcPr>
          <w:p w14:paraId="46C47DB9"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Spain</w:t>
            </w:r>
          </w:p>
        </w:tc>
        <w:tc>
          <w:tcPr>
            <w:tcW w:w="1260" w:type="dxa"/>
            <w:vAlign w:val="bottom"/>
          </w:tcPr>
          <w:p w14:paraId="7B17EE1B"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8</w:t>
            </w:r>
          </w:p>
        </w:tc>
        <w:tc>
          <w:tcPr>
            <w:tcW w:w="1435" w:type="dxa"/>
            <w:vAlign w:val="bottom"/>
          </w:tcPr>
          <w:p w14:paraId="60168216"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77.84</w:t>
            </w:r>
          </w:p>
        </w:tc>
      </w:tr>
      <w:tr w:rsidR="0030333D" w14:paraId="424BEAB1" w14:textId="77777777">
        <w:tc>
          <w:tcPr>
            <w:tcW w:w="2547" w:type="dxa"/>
            <w:vAlign w:val="bottom"/>
          </w:tcPr>
          <w:p w14:paraId="6300421E" w14:textId="77777777" w:rsidR="0030333D" w:rsidRDefault="0030333D">
            <w:pPr>
              <w:rPr>
                <w:rFonts w:ascii="Times New Roman" w:eastAsia="Times New Roman" w:hAnsi="Times New Roman" w:cs="Times New Roman"/>
              </w:rPr>
            </w:pPr>
          </w:p>
        </w:tc>
        <w:tc>
          <w:tcPr>
            <w:tcW w:w="1984" w:type="dxa"/>
            <w:vAlign w:val="bottom"/>
          </w:tcPr>
          <w:p w14:paraId="1BF56DDD"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Sweden</w:t>
            </w:r>
          </w:p>
        </w:tc>
        <w:tc>
          <w:tcPr>
            <w:tcW w:w="1260" w:type="dxa"/>
            <w:vAlign w:val="bottom"/>
          </w:tcPr>
          <w:p w14:paraId="31847F84"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3</w:t>
            </w:r>
          </w:p>
        </w:tc>
        <w:tc>
          <w:tcPr>
            <w:tcW w:w="1435" w:type="dxa"/>
            <w:vAlign w:val="bottom"/>
          </w:tcPr>
          <w:p w14:paraId="431CC8B0"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84.99</w:t>
            </w:r>
          </w:p>
        </w:tc>
      </w:tr>
      <w:tr w:rsidR="0030333D" w14:paraId="1B354F1B" w14:textId="77777777">
        <w:tc>
          <w:tcPr>
            <w:tcW w:w="2547" w:type="dxa"/>
            <w:vAlign w:val="bottom"/>
          </w:tcPr>
          <w:p w14:paraId="75777192" w14:textId="77777777" w:rsidR="0030333D" w:rsidRDefault="0030333D">
            <w:pPr>
              <w:rPr>
                <w:rFonts w:ascii="Times New Roman" w:eastAsia="Times New Roman" w:hAnsi="Times New Roman" w:cs="Times New Roman"/>
              </w:rPr>
            </w:pPr>
          </w:p>
        </w:tc>
        <w:tc>
          <w:tcPr>
            <w:tcW w:w="1984" w:type="dxa"/>
            <w:vAlign w:val="bottom"/>
          </w:tcPr>
          <w:p w14:paraId="024CF61D"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Switzerland</w:t>
            </w:r>
          </w:p>
        </w:tc>
        <w:tc>
          <w:tcPr>
            <w:tcW w:w="1260" w:type="dxa"/>
            <w:vAlign w:val="bottom"/>
          </w:tcPr>
          <w:p w14:paraId="5D8A649D"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8</w:t>
            </w:r>
          </w:p>
        </w:tc>
        <w:tc>
          <w:tcPr>
            <w:tcW w:w="1435" w:type="dxa"/>
            <w:vAlign w:val="bottom"/>
          </w:tcPr>
          <w:p w14:paraId="2142D014"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78.84</w:t>
            </w:r>
          </w:p>
        </w:tc>
      </w:tr>
      <w:tr w:rsidR="0030333D" w14:paraId="6FBB6677" w14:textId="77777777">
        <w:tc>
          <w:tcPr>
            <w:tcW w:w="2547" w:type="dxa"/>
            <w:vAlign w:val="bottom"/>
          </w:tcPr>
          <w:p w14:paraId="67288F5B" w14:textId="77777777" w:rsidR="0030333D" w:rsidRDefault="0030333D">
            <w:pPr>
              <w:rPr>
                <w:rFonts w:ascii="Times New Roman" w:eastAsia="Times New Roman" w:hAnsi="Times New Roman" w:cs="Times New Roman"/>
              </w:rPr>
            </w:pPr>
          </w:p>
        </w:tc>
        <w:tc>
          <w:tcPr>
            <w:tcW w:w="1984" w:type="dxa"/>
            <w:vAlign w:val="bottom"/>
          </w:tcPr>
          <w:p w14:paraId="1A107A04"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Turkey</w:t>
            </w:r>
          </w:p>
        </w:tc>
        <w:tc>
          <w:tcPr>
            <w:tcW w:w="1260" w:type="dxa"/>
            <w:vAlign w:val="bottom"/>
          </w:tcPr>
          <w:p w14:paraId="0525AAC5"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1</w:t>
            </w:r>
          </w:p>
        </w:tc>
        <w:tc>
          <w:tcPr>
            <w:tcW w:w="1435" w:type="dxa"/>
            <w:vAlign w:val="bottom"/>
          </w:tcPr>
          <w:p w14:paraId="11150DB4"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68.49</w:t>
            </w:r>
          </w:p>
        </w:tc>
      </w:tr>
      <w:tr w:rsidR="0030333D" w14:paraId="5157032F" w14:textId="77777777">
        <w:tc>
          <w:tcPr>
            <w:tcW w:w="2547" w:type="dxa"/>
            <w:tcBorders>
              <w:bottom w:val="single" w:sz="4" w:space="0" w:color="000000"/>
            </w:tcBorders>
            <w:vAlign w:val="bottom"/>
          </w:tcPr>
          <w:p w14:paraId="0356C64A"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 xml:space="preserve">Total </w:t>
            </w:r>
          </w:p>
        </w:tc>
        <w:tc>
          <w:tcPr>
            <w:tcW w:w="1984" w:type="dxa"/>
            <w:tcBorders>
              <w:bottom w:val="single" w:sz="4" w:space="0" w:color="000000"/>
            </w:tcBorders>
            <w:vAlign w:val="bottom"/>
          </w:tcPr>
          <w:p w14:paraId="3301BD74" w14:textId="77777777" w:rsidR="0030333D" w:rsidRDefault="0030333D">
            <w:pPr>
              <w:rPr>
                <w:rFonts w:ascii="Times New Roman" w:eastAsia="Times New Roman" w:hAnsi="Times New Roman" w:cs="Times New Roman"/>
              </w:rPr>
            </w:pPr>
          </w:p>
        </w:tc>
        <w:tc>
          <w:tcPr>
            <w:tcW w:w="1260" w:type="dxa"/>
            <w:tcBorders>
              <w:bottom w:val="single" w:sz="4" w:space="0" w:color="000000"/>
            </w:tcBorders>
            <w:vAlign w:val="bottom"/>
          </w:tcPr>
          <w:p w14:paraId="64CDEA4C"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150</w:t>
            </w:r>
          </w:p>
        </w:tc>
        <w:tc>
          <w:tcPr>
            <w:tcW w:w="1435" w:type="dxa"/>
            <w:tcBorders>
              <w:bottom w:val="single" w:sz="4" w:space="0" w:color="000000"/>
            </w:tcBorders>
            <w:vAlign w:val="bottom"/>
          </w:tcPr>
          <w:p w14:paraId="4AA259AC" w14:textId="77777777" w:rsidR="0030333D" w:rsidRDefault="00000000">
            <w:pPr>
              <w:jc w:val="right"/>
              <w:rPr>
                <w:rFonts w:ascii="Times New Roman" w:eastAsia="Times New Roman" w:hAnsi="Times New Roman" w:cs="Times New Roman"/>
              </w:rPr>
            </w:pPr>
            <w:r>
              <w:rPr>
                <w:rFonts w:ascii="Times New Roman" w:eastAsia="Times New Roman" w:hAnsi="Times New Roman" w:cs="Times New Roman"/>
              </w:rPr>
              <w:t>77.06</w:t>
            </w:r>
          </w:p>
        </w:tc>
      </w:tr>
    </w:tbl>
    <w:p w14:paraId="12220AE7" w14:textId="77777777" w:rsidR="0030333D" w:rsidRDefault="0030333D">
      <w:pPr>
        <w:rPr>
          <w:rFonts w:ascii="Times New Roman" w:eastAsia="Times New Roman" w:hAnsi="Times New Roman" w:cs="Times New Roman"/>
        </w:rPr>
      </w:pPr>
    </w:p>
    <w:p w14:paraId="3F08F7D1" w14:textId="77777777" w:rsidR="0030333D" w:rsidRDefault="00000000">
      <w:pPr>
        <w:spacing w:after="160" w:line="259" w:lineRule="auto"/>
        <w:rPr>
          <w:rFonts w:ascii="Times New Roman" w:eastAsia="Times New Roman" w:hAnsi="Times New Roman" w:cs="Times New Roman"/>
          <w:sz w:val="24"/>
          <w:szCs w:val="24"/>
        </w:rPr>
        <w:sectPr w:rsidR="0030333D" w:rsidSect="00702120">
          <w:headerReference w:type="default" r:id="rId37"/>
          <w:footerReference w:type="even" r:id="rId38"/>
          <w:footerReference w:type="default" r:id="rId39"/>
          <w:footerReference w:type="first" r:id="rId40"/>
          <w:pgSz w:w="12240" w:h="15840"/>
          <w:pgMar w:top="1440" w:right="1440" w:bottom="1440" w:left="1440" w:header="720" w:footer="720" w:gutter="0"/>
          <w:pgNumType w:start="0"/>
          <w:cols w:space="720"/>
          <w:titlePg/>
        </w:sectPr>
      </w:pPr>
      <w:r>
        <w:br w:type="page"/>
      </w:r>
    </w:p>
    <w:p w14:paraId="5617D3BB" w14:textId="77777777" w:rsidR="0030333D" w:rsidRDefault="00000000">
      <w:pPr>
        <w:jc w:val="both"/>
        <w:rPr>
          <w:rFonts w:ascii="Times New Roman" w:eastAsia="Times New Roman" w:hAnsi="Times New Roman" w:cs="Times New Roman"/>
          <w:b/>
        </w:rPr>
      </w:pPr>
      <w:bookmarkStart w:id="1" w:name="_heading=h.30j0zll" w:colFirst="0" w:colLast="0"/>
      <w:bookmarkEnd w:id="1"/>
      <w:r>
        <w:rPr>
          <w:rFonts w:ascii="Times New Roman" w:eastAsia="Times New Roman" w:hAnsi="Times New Roman" w:cs="Times New Roman"/>
          <w:b/>
        </w:rPr>
        <w:lastRenderedPageBreak/>
        <w:t>Table 4. Descriptive statistics and correlations.</w:t>
      </w:r>
    </w:p>
    <w:tbl>
      <w:tblPr>
        <w:tblStyle w:val="affffb"/>
        <w:tblW w:w="13745" w:type="dxa"/>
        <w:tblInd w:w="-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97"/>
        <w:gridCol w:w="851"/>
        <w:gridCol w:w="850"/>
        <w:gridCol w:w="851"/>
        <w:gridCol w:w="850"/>
        <w:gridCol w:w="993"/>
        <w:gridCol w:w="1134"/>
        <w:gridCol w:w="992"/>
        <w:gridCol w:w="1134"/>
        <w:gridCol w:w="1134"/>
        <w:gridCol w:w="850"/>
        <w:gridCol w:w="709"/>
      </w:tblGrid>
      <w:tr w:rsidR="0030333D" w14:paraId="645AE54E" w14:textId="77777777">
        <w:tc>
          <w:tcPr>
            <w:tcW w:w="3397" w:type="dxa"/>
          </w:tcPr>
          <w:p w14:paraId="6B229FB9" w14:textId="77777777" w:rsidR="0030333D" w:rsidRDefault="0030333D">
            <w:pPr>
              <w:rPr>
                <w:rFonts w:ascii="Times New Roman" w:eastAsia="Times New Roman" w:hAnsi="Times New Roman" w:cs="Times New Roman"/>
              </w:rPr>
            </w:pPr>
          </w:p>
        </w:tc>
        <w:tc>
          <w:tcPr>
            <w:tcW w:w="851" w:type="dxa"/>
          </w:tcPr>
          <w:p w14:paraId="2A56608A"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Mean</w:t>
            </w:r>
          </w:p>
        </w:tc>
        <w:tc>
          <w:tcPr>
            <w:tcW w:w="850" w:type="dxa"/>
          </w:tcPr>
          <w:p w14:paraId="4EC24A00"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SD.</w:t>
            </w:r>
          </w:p>
        </w:tc>
        <w:tc>
          <w:tcPr>
            <w:tcW w:w="851" w:type="dxa"/>
          </w:tcPr>
          <w:p w14:paraId="0E9DC0DD"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Min</w:t>
            </w:r>
          </w:p>
        </w:tc>
        <w:tc>
          <w:tcPr>
            <w:tcW w:w="850" w:type="dxa"/>
          </w:tcPr>
          <w:p w14:paraId="54FC901D"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Max</w:t>
            </w:r>
          </w:p>
        </w:tc>
        <w:tc>
          <w:tcPr>
            <w:tcW w:w="993" w:type="dxa"/>
          </w:tcPr>
          <w:p w14:paraId="78317A5B"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Median</w:t>
            </w:r>
          </w:p>
        </w:tc>
        <w:tc>
          <w:tcPr>
            <w:tcW w:w="1134" w:type="dxa"/>
          </w:tcPr>
          <w:p w14:paraId="1D2FDC63"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w:t>
            </w:r>
          </w:p>
        </w:tc>
        <w:tc>
          <w:tcPr>
            <w:tcW w:w="992" w:type="dxa"/>
          </w:tcPr>
          <w:p w14:paraId="50268806"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2</w:t>
            </w:r>
          </w:p>
        </w:tc>
        <w:tc>
          <w:tcPr>
            <w:tcW w:w="1134" w:type="dxa"/>
          </w:tcPr>
          <w:p w14:paraId="713D21A6"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3</w:t>
            </w:r>
          </w:p>
        </w:tc>
        <w:tc>
          <w:tcPr>
            <w:tcW w:w="1134" w:type="dxa"/>
          </w:tcPr>
          <w:p w14:paraId="5140C47B"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4</w:t>
            </w:r>
          </w:p>
        </w:tc>
        <w:tc>
          <w:tcPr>
            <w:tcW w:w="850" w:type="dxa"/>
          </w:tcPr>
          <w:p w14:paraId="3CBE812B"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5</w:t>
            </w:r>
          </w:p>
        </w:tc>
        <w:tc>
          <w:tcPr>
            <w:tcW w:w="709" w:type="dxa"/>
          </w:tcPr>
          <w:p w14:paraId="736E2A55"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6</w:t>
            </w:r>
          </w:p>
        </w:tc>
      </w:tr>
      <w:tr w:rsidR="0030333D" w14:paraId="315D38F7" w14:textId="77777777">
        <w:tc>
          <w:tcPr>
            <w:tcW w:w="3397" w:type="dxa"/>
            <w:tcBorders>
              <w:top w:val="single" w:sz="4" w:space="0" w:color="000000"/>
            </w:tcBorders>
          </w:tcPr>
          <w:p w14:paraId="0E1BC6DE"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Firm emphasis on SDGs (1)</w:t>
            </w:r>
          </w:p>
        </w:tc>
        <w:tc>
          <w:tcPr>
            <w:tcW w:w="851" w:type="dxa"/>
            <w:tcBorders>
              <w:top w:val="single" w:sz="4" w:space="0" w:color="000000"/>
            </w:tcBorders>
            <w:vAlign w:val="bottom"/>
          </w:tcPr>
          <w:p w14:paraId="5AA8EAD8"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35.86</w:t>
            </w:r>
          </w:p>
        </w:tc>
        <w:tc>
          <w:tcPr>
            <w:tcW w:w="850" w:type="dxa"/>
            <w:tcBorders>
              <w:top w:val="single" w:sz="4" w:space="0" w:color="000000"/>
            </w:tcBorders>
            <w:vAlign w:val="bottom"/>
          </w:tcPr>
          <w:p w14:paraId="1D464327"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35.41</w:t>
            </w:r>
          </w:p>
        </w:tc>
        <w:tc>
          <w:tcPr>
            <w:tcW w:w="851" w:type="dxa"/>
            <w:tcBorders>
              <w:top w:val="single" w:sz="4" w:space="0" w:color="000000"/>
            </w:tcBorders>
            <w:vAlign w:val="bottom"/>
          </w:tcPr>
          <w:p w14:paraId="2B8AEB1D"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5.27</w:t>
            </w:r>
          </w:p>
        </w:tc>
        <w:tc>
          <w:tcPr>
            <w:tcW w:w="850" w:type="dxa"/>
            <w:tcBorders>
              <w:top w:val="single" w:sz="4" w:space="0" w:color="000000"/>
            </w:tcBorders>
            <w:vAlign w:val="bottom"/>
          </w:tcPr>
          <w:p w14:paraId="0B6A7701"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23.73</w:t>
            </w:r>
          </w:p>
        </w:tc>
        <w:tc>
          <w:tcPr>
            <w:tcW w:w="993" w:type="dxa"/>
            <w:tcBorders>
              <w:top w:val="single" w:sz="4" w:space="0" w:color="000000"/>
            </w:tcBorders>
            <w:vAlign w:val="bottom"/>
          </w:tcPr>
          <w:p w14:paraId="0E640F13"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47.57</w:t>
            </w:r>
          </w:p>
        </w:tc>
        <w:tc>
          <w:tcPr>
            <w:tcW w:w="1134" w:type="dxa"/>
            <w:tcBorders>
              <w:top w:val="single" w:sz="4" w:space="0" w:color="000000"/>
            </w:tcBorders>
          </w:tcPr>
          <w:p w14:paraId="2FA2F7BD"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 xml:space="preserve"> 1.00</w:t>
            </w:r>
          </w:p>
        </w:tc>
        <w:tc>
          <w:tcPr>
            <w:tcW w:w="992" w:type="dxa"/>
            <w:tcBorders>
              <w:top w:val="single" w:sz="4" w:space="0" w:color="000000"/>
            </w:tcBorders>
          </w:tcPr>
          <w:p w14:paraId="1A06CB1B" w14:textId="77777777" w:rsidR="0030333D" w:rsidRDefault="0030333D">
            <w:pPr>
              <w:rPr>
                <w:rFonts w:ascii="Times New Roman" w:eastAsia="Times New Roman" w:hAnsi="Times New Roman" w:cs="Times New Roman"/>
              </w:rPr>
            </w:pPr>
          </w:p>
        </w:tc>
        <w:tc>
          <w:tcPr>
            <w:tcW w:w="1134" w:type="dxa"/>
            <w:tcBorders>
              <w:top w:val="single" w:sz="4" w:space="0" w:color="000000"/>
            </w:tcBorders>
          </w:tcPr>
          <w:p w14:paraId="11AA7C31" w14:textId="77777777" w:rsidR="0030333D" w:rsidRDefault="0030333D">
            <w:pPr>
              <w:rPr>
                <w:rFonts w:ascii="Times New Roman" w:eastAsia="Times New Roman" w:hAnsi="Times New Roman" w:cs="Times New Roman"/>
              </w:rPr>
            </w:pPr>
          </w:p>
        </w:tc>
        <w:tc>
          <w:tcPr>
            <w:tcW w:w="1134" w:type="dxa"/>
            <w:tcBorders>
              <w:top w:val="single" w:sz="4" w:space="0" w:color="000000"/>
            </w:tcBorders>
          </w:tcPr>
          <w:p w14:paraId="546B0BD0" w14:textId="77777777" w:rsidR="0030333D" w:rsidRDefault="0030333D">
            <w:pPr>
              <w:rPr>
                <w:rFonts w:ascii="Times New Roman" w:eastAsia="Times New Roman" w:hAnsi="Times New Roman" w:cs="Times New Roman"/>
              </w:rPr>
            </w:pPr>
          </w:p>
        </w:tc>
        <w:tc>
          <w:tcPr>
            <w:tcW w:w="850" w:type="dxa"/>
            <w:tcBorders>
              <w:top w:val="single" w:sz="4" w:space="0" w:color="000000"/>
            </w:tcBorders>
          </w:tcPr>
          <w:p w14:paraId="29B10441" w14:textId="77777777" w:rsidR="0030333D" w:rsidRDefault="0030333D">
            <w:pPr>
              <w:rPr>
                <w:rFonts w:ascii="Times New Roman" w:eastAsia="Times New Roman" w:hAnsi="Times New Roman" w:cs="Times New Roman"/>
              </w:rPr>
            </w:pPr>
          </w:p>
        </w:tc>
        <w:tc>
          <w:tcPr>
            <w:tcW w:w="709" w:type="dxa"/>
            <w:tcBorders>
              <w:top w:val="single" w:sz="4" w:space="0" w:color="000000"/>
            </w:tcBorders>
          </w:tcPr>
          <w:p w14:paraId="06FCF55A" w14:textId="77777777" w:rsidR="0030333D" w:rsidRDefault="0030333D">
            <w:pPr>
              <w:rPr>
                <w:rFonts w:ascii="Times New Roman" w:eastAsia="Times New Roman" w:hAnsi="Times New Roman" w:cs="Times New Roman"/>
              </w:rPr>
            </w:pPr>
          </w:p>
        </w:tc>
      </w:tr>
      <w:tr w:rsidR="0030333D" w14:paraId="7559416A" w14:textId="77777777">
        <w:tc>
          <w:tcPr>
            <w:tcW w:w="3397" w:type="dxa"/>
          </w:tcPr>
          <w:p w14:paraId="605F2934"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Firm size (2)</w:t>
            </w:r>
          </w:p>
        </w:tc>
        <w:tc>
          <w:tcPr>
            <w:tcW w:w="851" w:type="dxa"/>
          </w:tcPr>
          <w:p w14:paraId="3DBCA90D"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9.57</w:t>
            </w:r>
          </w:p>
        </w:tc>
        <w:tc>
          <w:tcPr>
            <w:tcW w:w="850" w:type="dxa"/>
          </w:tcPr>
          <w:p w14:paraId="09AE268D"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1.14</w:t>
            </w:r>
          </w:p>
        </w:tc>
        <w:tc>
          <w:tcPr>
            <w:tcW w:w="851" w:type="dxa"/>
          </w:tcPr>
          <w:p w14:paraId="7909A5FE"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5.58</w:t>
            </w:r>
          </w:p>
        </w:tc>
        <w:tc>
          <w:tcPr>
            <w:tcW w:w="850" w:type="dxa"/>
          </w:tcPr>
          <w:p w14:paraId="0231F903"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12.17</w:t>
            </w:r>
          </w:p>
        </w:tc>
        <w:tc>
          <w:tcPr>
            <w:tcW w:w="993" w:type="dxa"/>
          </w:tcPr>
          <w:p w14:paraId="522AA5C1"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 xml:space="preserve">  9.50</w:t>
            </w:r>
          </w:p>
        </w:tc>
        <w:tc>
          <w:tcPr>
            <w:tcW w:w="1134" w:type="dxa"/>
          </w:tcPr>
          <w:p w14:paraId="4925C9C3"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 xml:space="preserve"> 0.081</w:t>
            </w:r>
          </w:p>
        </w:tc>
        <w:tc>
          <w:tcPr>
            <w:tcW w:w="992" w:type="dxa"/>
          </w:tcPr>
          <w:p w14:paraId="49BA16DB"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 xml:space="preserve"> 1.00</w:t>
            </w:r>
          </w:p>
        </w:tc>
        <w:tc>
          <w:tcPr>
            <w:tcW w:w="1134" w:type="dxa"/>
          </w:tcPr>
          <w:p w14:paraId="030BA14F" w14:textId="77777777" w:rsidR="0030333D" w:rsidRDefault="0030333D">
            <w:pPr>
              <w:rPr>
                <w:rFonts w:ascii="Times New Roman" w:eastAsia="Times New Roman" w:hAnsi="Times New Roman" w:cs="Times New Roman"/>
              </w:rPr>
            </w:pPr>
          </w:p>
        </w:tc>
        <w:tc>
          <w:tcPr>
            <w:tcW w:w="1134" w:type="dxa"/>
          </w:tcPr>
          <w:p w14:paraId="70380DB1" w14:textId="77777777" w:rsidR="0030333D" w:rsidRDefault="0030333D">
            <w:pPr>
              <w:rPr>
                <w:rFonts w:ascii="Times New Roman" w:eastAsia="Times New Roman" w:hAnsi="Times New Roman" w:cs="Times New Roman"/>
              </w:rPr>
            </w:pPr>
          </w:p>
        </w:tc>
        <w:tc>
          <w:tcPr>
            <w:tcW w:w="850" w:type="dxa"/>
          </w:tcPr>
          <w:p w14:paraId="31722FC6" w14:textId="77777777" w:rsidR="0030333D" w:rsidRDefault="0030333D">
            <w:pPr>
              <w:rPr>
                <w:rFonts w:ascii="Times New Roman" w:eastAsia="Times New Roman" w:hAnsi="Times New Roman" w:cs="Times New Roman"/>
              </w:rPr>
            </w:pPr>
          </w:p>
        </w:tc>
        <w:tc>
          <w:tcPr>
            <w:tcW w:w="709" w:type="dxa"/>
          </w:tcPr>
          <w:p w14:paraId="049F7BB3" w14:textId="77777777" w:rsidR="0030333D" w:rsidRDefault="0030333D">
            <w:pPr>
              <w:rPr>
                <w:rFonts w:ascii="Times New Roman" w:eastAsia="Times New Roman" w:hAnsi="Times New Roman" w:cs="Times New Roman"/>
              </w:rPr>
            </w:pPr>
          </w:p>
        </w:tc>
      </w:tr>
      <w:tr w:rsidR="0030333D" w14:paraId="278A62C0" w14:textId="77777777">
        <w:tc>
          <w:tcPr>
            <w:tcW w:w="3397" w:type="dxa"/>
          </w:tcPr>
          <w:p w14:paraId="7C2F72F8"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ROA (3)</w:t>
            </w:r>
          </w:p>
        </w:tc>
        <w:tc>
          <w:tcPr>
            <w:tcW w:w="851" w:type="dxa"/>
          </w:tcPr>
          <w:p w14:paraId="435A90D9"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4.50</w:t>
            </w:r>
          </w:p>
        </w:tc>
        <w:tc>
          <w:tcPr>
            <w:tcW w:w="850" w:type="dxa"/>
          </w:tcPr>
          <w:p w14:paraId="0473BF4F"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4.53</w:t>
            </w:r>
          </w:p>
        </w:tc>
        <w:tc>
          <w:tcPr>
            <w:tcW w:w="851" w:type="dxa"/>
          </w:tcPr>
          <w:p w14:paraId="677EF172"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-7.98</w:t>
            </w:r>
          </w:p>
        </w:tc>
        <w:tc>
          <w:tcPr>
            <w:tcW w:w="850" w:type="dxa"/>
          </w:tcPr>
          <w:p w14:paraId="0C0181A7"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19.80</w:t>
            </w:r>
          </w:p>
        </w:tc>
        <w:tc>
          <w:tcPr>
            <w:tcW w:w="993" w:type="dxa"/>
          </w:tcPr>
          <w:p w14:paraId="30D791FA"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 xml:space="preserve">  3.95</w:t>
            </w:r>
          </w:p>
        </w:tc>
        <w:tc>
          <w:tcPr>
            <w:tcW w:w="1134" w:type="dxa"/>
          </w:tcPr>
          <w:p w14:paraId="5907E109"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-0.070</w:t>
            </w:r>
          </w:p>
        </w:tc>
        <w:tc>
          <w:tcPr>
            <w:tcW w:w="992" w:type="dxa"/>
          </w:tcPr>
          <w:p w14:paraId="1E50FF79"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-0.19**</w:t>
            </w:r>
          </w:p>
        </w:tc>
        <w:tc>
          <w:tcPr>
            <w:tcW w:w="1134" w:type="dxa"/>
          </w:tcPr>
          <w:p w14:paraId="24657955"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 xml:space="preserve"> 1.00</w:t>
            </w:r>
          </w:p>
        </w:tc>
        <w:tc>
          <w:tcPr>
            <w:tcW w:w="1134" w:type="dxa"/>
          </w:tcPr>
          <w:p w14:paraId="63EC8A71" w14:textId="77777777" w:rsidR="0030333D" w:rsidRDefault="0030333D">
            <w:pPr>
              <w:rPr>
                <w:rFonts w:ascii="Times New Roman" w:eastAsia="Times New Roman" w:hAnsi="Times New Roman" w:cs="Times New Roman"/>
              </w:rPr>
            </w:pPr>
          </w:p>
        </w:tc>
        <w:tc>
          <w:tcPr>
            <w:tcW w:w="850" w:type="dxa"/>
          </w:tcPr>
          <w:p w14:paraId="048805B8" w14:textId="77777777" w:rsidR="0030333D" w:rsidRDefault="0030333D">
            <w:pPr>
              <w:rPr>
                <w:rFonts w:ascii="Times New Roman" w:eastAsia="Times New Roman" w:hAnsi="Times New Roman" w:cs="Times New Roman"/>
              </w:rPr>
            </w:pPr>
          </w:p>
        </w:tc>
        <w:tc>
          <w:tcPr>
            <w:tcW w:w="709" w:type="dxa"/>
          </w:tcPr>
          <w:p w14:paraId="71501033" w14:textId="77777777" w:rsidR="0030333D" w:rsidRDefault="0030333D">
            <w:pPr>
              <w:rPr>
                <w:rFonts w:ascii="Times New Roman" w:eastAsia="Times New Roman" w:hAnsi="Times New Roman" w:cs="Times New Roman"/>
              </w:rPr>
            </w:pPr>
          </w:p>
        </w:tc>
      </w:tr>
      <w:tr w:rsidR="0030333D" w14:paraId="4B8414AA" w14:textId="77777777">
        <w:tc>
          <w:tcPr>
            <w:tcW w:w="3397" w:type="dxa"/>
          </w:tcPr>
          <w:p w14:paraId="02FB1AB9"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ROE (4)</w:t>
            </w:r>
          </w:p>
        </w:tc>
        <w:tc>
          <w:tcPr>
            <w:tcW w:w="851" w:type="dxa"/>
          </w:tcPr>
          <w:p w14:paraId="763CDCCE"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14.94</w:t>
            </w:r>
          </w:p>
        </w:tc>
        <w:tc>
          <w:tcPr>
            <w:tcW w:w="850" w:type="dxa"/>
          </w:tcPr>
          <w:p w14:paraId="17EFD47C"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27.62</w:t>
            </w:r>
          </w:p>
        </w:tc>
        <w:tc>
          <w:tcPr>
            <w:tcW w:w="851" w:type="dxa"/>
          </w:tcPr>
          <w:p w14:paraId="66B75703"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-23.68</w:t>
            </w:r>
          </w:p>
        </w:tc>
        <w:tc>
          <w:tcPr>
            <w:tcW w:w="850" w:type="dxa"/>
          </w:tcPr>
          <w:p w14:paraId="2291F03F"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317.5</w:t>
            </w:r>
          </w:p>
        </w:tc>
        <w:tc>
          <w:tcPr>
            <w:tcW w:w="993" w:type="dxa"/>
          </w:tcPr>
          <w:p w14:paraId="53BA78C7"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11.26</w:t>
            </w:r>
          </w:p>
        </w:tc>
        <w:tc>
          <w:tcPr>
            <w:tcW w:w="1134" w:type="dxa"/>
          </w:tcPr>
          <w:p w14:paraId="33B8469B"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-0.11</w:t>
            </w:r>
          </w:p>
        </w:tc>
        <w:tc>
          <w:tcPr>
            <w:tcW w:w="992" w:type="dxa"/>
          </w:tcPr>
          <w:p w14:paraId="3F7979C2"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-0.12</w:t>
            </w:r>
          </w:p>
        </w:tc>
        <w:tc>
          <w:tcPr>
            <w:tcW w:w="1134" w:type="dxa"/>
          </w:tcPr>
          <w:p w14:paraId="3240CBF6"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 xml:space="preserve"> 0.35***</w:t>
            </w:r>
          </w:p>
        </w:tc>
        <w:tc>
          <w:tcPr>
            <w:tcW w:w="1134" w:type="dxa"/>
          </w:tcPr>
          <w:p w14:paraId="7ADD76F4"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1.00</w:t>
            </w:r>
          </w:p>
        </w:tc>
        <w:tc>
          <w:tcPr>
            <w:tcW w:w="850" w:type="dxa"/>
          </w:tcPr>
          <w:p w14:paraId="1D295FA3" w14:textId="77777777" w:rsidR="0030333D" w:rsidRDefault="0030333D">
            <w:pPr>
              <w:rPr>
                <w:rFonts w:ascii="Times New Roman" w:eastAsia="Times New Roman" w:hAnsi="Times New Roman" w:cs="Times New Roman"/>
              </w:rPr>
            </w:pPr>
          </w:p>
        </w:tc>
        <w:tc>
          <w:tcPr>
            <w:tcW w:w="709" w:type="dxa"/>
          </w:tcPr>
          <w:p w14:paraId="5746A065" w14:textId="77777777" w:rsidR="0030333D" w:rsidRDefault="0030333D">
            <w:pPr>
              <w:rPr>
                <w:rFonts w:ascii="Times New Roman" w:eastAsia="Times New Roman" w:hAnsi="Times New Roman" w:cs="Times New Roman"/>
              </w:rPr>
            </w:pPr>
          </w:p>
        </w:tc>
      </w:tr>
      <w:tr w:rsidR="0030333D" w14:paraId="548DFF0C" w14:textId="77777777">
        <w:tc>
          <w:tcPr>
            <w:tcW w:w="3397" w:type="dxa"/>
          </w:tcPr>
          <w:p w14:paraId="25198CA9"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ROIC (5)</w:t>
            </w:r>
          </w:p>
        </w:tc>
        <w:tc>
          <w:tcPr>
            <w:tcW w:w="851" w:type="dxa"/>
          </w:tcPr>
          <w:p w14:paraId="6035ED22"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8.26</w:t>
            </w:r>
          </w:p>
        </w:tc>
        <w:tc>
          <w:tcPr>
            <w:tcW w:w="850" w:type="dxa"/>
          </w:tcPr>
          <w:p w14:paraId="0FD724F8"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7.82</w:t>
            </w:r>
          </w:p>
        </w:tc>
        <w:tc>
          <w:tcPr>
            <w:tcW w:w="851" w:type="dxa"/>
          </w:tcPr>
          <w:p w14:paraId="4BB1FBFC"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-17.04</w:t>
            </w:r>
          </w:p>
        </w:tc>
        <w:tc>
          <w:tcPr>
            <w:tcW w:w="850" w:type="dxa"/>
          </w:tcPr>
          <w:p w14:paraId="061CCDBD"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34.98</w:t>
            </w:r>
          </w:p>
        </w:tc>
        <w:tc>
          <w:tcPr>
            <w:tcW w:w="993" w:type="dxa"/>
          </w:tcPr>
          <w:p w14:paraId="1A0D8150"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 xml:space="preserve">  7.05</w:t>
            </w:r>
          </w:p>
        </w:tc>
        <w:tc>
          <w:tcPr>
            <w:tcW w:w="1134" w:type="dxa"/>
          </w:tcPr>
          <w:p w14:paraId="13268FA4"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-0.13</w:t>
            </w:r>
          </w:p>
        </w:tc>
        <w:tc>
          <w:tcPr>
            <w:tcW w:w="992" w:type="dxa"/>
          </w:tcPr>
          <w:p w14:paraId="4961352F"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-0.11</w:t>
            </w:r>
          </w:p>
        </w:tc>
        <w:tc>
          <w:tcPr>
            <w:tcW w:w="1134" w:type="dxa"/>
          </w:tcPr>
          <w:p w14:paraId="3142252A"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 xml:space="preserve"> 0.92***</w:t>
            </w:r>
          </w:p>
        </w:tc>
        <w:tc>
          <w:tcPr>
            <w:tcW w:w="1134" w:type="dxa"/>
          </w:tcPr>
          <w:p w14:paraId="519894F9"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0.55***</w:t>
            </w:r>
          </w:p>
        </w:tc>
        <w:tc>
          <w:tcPr>
            <w:tcW w:w="850" w:type="dxa"/>
          </w:tcPr>
          <w:p w14:paraId="6597F0B1"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 xml:space="preserve"> 1.00</w:t>
            </w:r>
          </w:p>
        </w:tc>
        <w:tc>
          <w:tcPr>
            <w:tcW w:w="709" w:type="dxa"/>
          </w:tcPr>
          <w:p w14:paraId="10F9A725" w14:textId="77777777" w:rsidR="0030333D" w:rsidRDefault="0030333D">
            <w:pPr>
              <w:rPr>
                <w:rFonts w:ascii="Times New Roman" w:eastAsia="Times New Roman" w:hAnsi="Times New Roman" w:cs="Times New Roman"/>
              </w:rPr>
            </w:pPr>
          </w:p>
        </w:tc>
      </w:tr>
      <w:tr w:rsidR="0030333D" w14:paraId="6830C6E4" w14:textId="77777777">
        <w:tc>
          <w:tcPr>
            <w:tcW w:w="3397" w:type="dxa"/>
            <w:tcBorders>
              <w:bottom w:val="single" w:sz="4" w:space="0" w:color="000000"/>
            </w:tcBorders>
          </w:tcPr>
          <w:p w14:paraId="667E4992"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Home-country SDG progress (6)</w:t>
            </w:r>
          </w:p>
        </w:tc>
        <w:tc>
          <w:tcPr>
            <w:tcW w:w="851" w:type="dxa"/>
            <w:tcBorders>
              <w:bottom w:val="single" w:sz="4" w:space="0" w:color="000000"/>
            </w:tcBorders>
            <w:vAlign w:val="bottom"/>
          </w:tcPr>
          <w:p w14:paraId="15D95A8E"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76.92</w:t>
            </w:r>
          </w:p>
        </w:tc>
        <w:tc>
          <w:tcPr>
            <w:tcW w:w="850" w:type="dxa"/>
            <w:tcBorders>
              <w:bottom w:val="single" w:sz="4" w:space="0" w:color="000000"/>
            </w:tcBorders>
            <w:vAlign w:val="bottom"/>
          </w:tcPr>
          <w:p w14:paraId="4E73BE5F"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78.22</w:t>
            </w:r>
          </w:p>
        </w:tc>
        <w:tc>
          <w:tcPr>
            <w:tcW w:w="851" w:type="dxa"/>
            <w:tcBorders>
              <w:bottom w:val="single" w:sz="4" w:space="0" w:color="000000"/>
            </w:tcBorders>
            <w:vAlign w:val="bottom"/>
          </w:tcPr>
          <w:p w14:paraId="495B129C"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5.15</w:t>
            </w:r>
          </w:p>
        </w:tc>
        <w:tc>
          <w:tcPr>
            <w:tcW w:w="850" w:type="dxa"/>
            <w:tcBorders>
              <w:bottom w:val="single" w:sz="4" w:space="0" w:color="000000"/>
            </w:tcBorders>
            <w:vAlign w:val="bottom"/>
          </w:tcPr>
          <w:p w14:paraId="45E5CB2E"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61.08</w:t>
            </w:r>
          </w:p>
        </w:tc>
        <w:tc>
          <w:tcPr>
            <w:tcW w:w="993" w:type="dxa"/>
            <w:tcBorders>
              <w:bottom w:val="single" w:sz="4" w:space="0" w:color="000000"/>
            </w:tcBorders>
            <w:vAlign w:val="bottom"/>
          </w:tcPr>
          <w:p w14:paraId="1BB07BC1"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84.99</w:t>
            </w:r>
          </w:p>
        </w:tc>
        <w:tc>
          <w:tcPr>
            <w:tcW w:w="1134" w:type="dxa"/>
            <w:tcBorders>
              <w:bottom w:val="single" w:sz="4" w:space="0" w:color="000000"/>
            </w:tcBorders>
          </w:tcPr>
          <w:p w14:paraId="5C885EFF"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-0.33***</w:t>
            </w:r>
          </w:p>
        </w:tc>
        <w:tc>
          <w:tcPr>
            <w:tcW w:w="992" w:type="dxa"/>
            <w:tcBorders>
              <w:bottom w:val="single" w:sz="4" w:space="0" w:color="000000"/>
            </w:tcBorders>
          </w:tcPr>
          <w:p w14:paraId="76B14C34"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 xml:space="preserve"> 0.13</w:t>
            </w:r>
          </w:p>
        </w:tc>
        <w:tc>
          <w:tcPr>
            <w:tcW w:w="1134" w:type="dxa"/>
            <w:tcBorders>
              <w:bottom w:val="single" w:sz="4" w:space="0" w:color="000000"/>
            </w:tcBorders>
          </w:tcPr>
          <w:p w14:paraId="0AC5527E"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-0.087</w:t>
            </w:r>
          </w:p>
        </w:tc>
        <w:tc>
          <w:tcPr>
            <w:tcW w:w="1134" w:type="dxa"/>
            <w:tcBorders>
              <w:bottom w:val="single" w:sz="4" w:space="0" w:color="000000"/>
            </w:tcBorders>
          </w:tcPr>
          <w:p w14:paraId="4EFA58F4"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0.032</w:t>
            </w:r>
          </w:p>
        </w:tc>
        <w:tc>
          <w:tcPr>
            <w:tcW w:w="850" w:type="dxa"/>
            <w:tcBorders>
              <w:bottom w:val="single" w:sz="4" w:space="0" w:color="000000"/>
            </w:tcBorders>
          </w:tcPr>
          <w:p w14:paraId="753376C8"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-0.031</w:t>
            </w:r>
          </w:p>
        </w:tc>
        <w:tc>
          <w:tcPr>
            <w:tcW w:w="709" w:type="dxa"/>
            <w:tcBorders>
              <w:bottom w:val="single" w:sz="4" w:space="0" w:color="000000"/>
            </w:tcBorders>
          </w:tcPr>
          <w:p w14:paraId="5260D74F"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1.00</w:t>
            </w:r>
          </w:p>
        </w:tc>
      </w:tr>
    </w:tbl>
    <w:p w14:paraId="324B06D3" w14:textId="77777777" w:rsidR="0030333D" w:rsidRDefault="00000000">
      <w:pPr>
        <w:pBdr>
          <w:top w:val="nil"/>
          <w:left w:val="nil"/>
          <w:bottom w:val="nil"/>
          <w:right w:val="nil"/>
          <w:between w:val="nil"/>
        </w:pBdr>
        <w:spacing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p</w:t>
      </w:r>
      <w:r>
        <w:rPr>
          <w:rFonts w:ascii="Times New Roman" w:eastAsia="Times New Roman" w:hAnsi="Times New Roman" w:cs="Times New Roman"/>
          <w:color w:val="000000"/>
        </w:rPr>
        <w:t xml:space="preserve"> &lt; 0.10; ** </w:t>
      </w:r>
      <w:r>
        <w:rPr>
          <w:rFonts w:ascii="Times New Roman" w:eastAsia="Times New Roman" w:hAnsi="Times New Roman" w:cs="Times New Roman"/>
          <w:i/>
          <w:color w:val="000000"/>
        </w:rPr>
        <w:t>p</w:t>
      </w:r>
      <w:r>
        <w:rPr>
          <w:rFonts w:ascii="Times New Roman" w:eastAsia="Times New Roman" w:hAnsi="Times New Roman" w:cs="Times New Roman"/>
          <w:color w:val="000000"/>
        </w:rPr>
        <w:t xml:space="preserve"> &lt; 0.05; *** </w:t>
      </w:r>
      <w:r>
        <w:rPr>
          <w:rFonts w:ascii="Times New Roman" w:eastAsia="Times New Roman" w:hAnsi="Times New Roman" w:cs="Times New Roman"/>
          <w:i/>
          <w:color w:val="000000"/>
        </w:rPr>
        <w:t>p</w:t>
      </w:r>
      <w:r>
        <w:rPr>
          <w:rFonts w:ascii="Times New Roman" w:eastAsia="Times New Roman" w:hAnsi="Times New Roman" w:cs="Times New Roman"/>
          <w:color w:val="000000"/>
        </w:rPr>
        <w:t xml:space="preserve"> &lt; 0.01 </w:t>
      </w:r>
    </w:p>
    <w:p w14:paraId="03519902" w14:textId="77777777" w:rsidR="0030333D" w:rsidRDefault="0030333D">
      <w:pPr>
        <w:jc w:val="both"/>
        <w:rPr>
          <w:rFonts w:ascii="Times New Roman" w:eastAsia="Times New Roman" w:hAnsi="Times New Roman" w:cs="Times New Roman"/>
        </w:rPr>
      </w:pPr>
    </w:p>
    <w:p w14:paraId="6C6798B9" w14:textId="77777777" w:rsidR="0030333D" w:rsidRDefault="00000000">
      <w:pPr>
        <w:spacing w:after="160" w:line="259" w:lineRule="auto"/>
        <w:rPr>
          <w:rFonts w:ascii="Times New Roman" w:eastAsia="Times New Roman" w:hAnsi="Times New Roman" w:cs="Times New Roman"/>
          <w:sz w:val="24"/>
          <w:szCs w:val="24"/>
        </w:rPr>
        <w:sectPr w:rsidR="0030333D" w:rsidSect="00702120">
          <w:pgSz w:w="15840" w:h="12240" w:orient="landscape"/>
          <w:pgMar w:top="1440" w:right="1440" w:bottom="1440" w:left="1440" w:header="720" w:footer="720" w:gutter="0"/>
          <w:cols w:space="720"/>
        </w:sectPr>
      </w:pPr>
      <w:r>
        <w:br w:type="page"/>
      </w:r>
    </w:p>
    <w:p w14:paraId="5D5AD77C" w14:textId="77777777" w:rsidR="0030333D" w:rsidRDefault="00000000">
      <w:pPr>
        <w:jc w:val="both"/>
        <w:rPr>
          <w:rFonts w:ascii="Times New Roman" w:eastAsia="Times New Roman" w:hAnsi="Times New Roman" w:cs="Times New Roman"/>
        </w:rPr>
      </w:pPr>
      <w:r>
        <w:rPr>
          <w:rFonts w:ascii="Times New Roman" w:eastAsia="Times New Roman" w:hAnsi="Times New Roman" w:cs="Times New Roman"/>
          <w:b/>
        </w:rPr>
        <w:lastRenderedPageBreak/>
        <w:t>Table 5. Result of the regression analysis - Overall SDG values</w:t>
      </w:r>
    </w:p>
    <w:tbl>
      <w:tblPr>
        <w:tblStyle w:val="affffc"/>
        <w:tblW w:w="6728" w:type="dxa"/>
        <w:tblInd w:w="-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96"/>
        <w:gridCol w:w="1064"/>
        <w:gridCol w:w="1134"/>
        <w:gridCol w:w="1134"/>
      </w:tblGrid>
      <w:tr w:rsidR="0030333D" w14:paraId="6C983413" w14:textId="77777777">
        <w:tc>
          <w:tcPr>
            <w:tcW w:w="3396" w:type="dxa"/>
            <w:tcBorders>
              <w:top w:val="single" w:sz="4" w:space="0" w:color="000000"/>
              <w:bottom w:val="single" w:sz="4" w:space="0" w:color="000000"/>
            </w:tcBorders>
          </w:tcPr>
          <w:p w14:paraId="01099E92"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Variable</w:t>
            </w:r>
          </w:p>
        </w:tc>
        <w:tc>
          <w:tcPr>
            <w:tcW w:w="1064" w:type="dxa"/>
            <w:tcBorders>
              <w:top w:val="single" w:sz="4" w:space="0" w:color="000000"/>
              <w:bottom w:val="single" w:sz="4" w:space="0" w:color="000000"/>
            </w:tcBorders>
          </w:tcPr>
          <w:p w14:paraId="6914F771"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Model 1</w:t>
            </w:r>
          </w:p>
        </w:tc>
        <w:tc>
          <w:tcPr>
            <w:tcW w:w="1134" w:type="dxa"/>
            <w:tcBorders>
              <w:top w:val="single" w:sz="4" w:space="0" w:color="000000"/>
              <w:bottom w:val="single" w:sz="4" w:space="0" w:color="000000"/>
            </w:tcBorders>
          </w:tcPr>
          <w:p w14:paraId="646590ED"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Model 2</w:t>
            </w:r>
          </w:p>
        </w:tc>
        <w:tc>
          <w:tcPr>
            <w:tcW w:w="1134" w:type="dxa"/>
            <w:tcBorders>
              <w:top w:val="single" w:sz="4" w:space="0" w:color="000000"/>
              <w:bottom w:val="single" w:sz="4" w:space="0" w:color="000000"/>
            </w:tcBorders>
          </w:tcPr>
          <w:p w14:paraId="2775C877"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Model 3</w:t>
            </w:r>
          </w:p>
        </w:tc>
      </w:tr>
      <w:tr w:rsidR="0030333D" w14:paraId="77520B90" w14:textId="77777777">
        <w:tc>
          <w:tcPr>
            <w:tcW w:w="3396" w:type="dxa"/>
            <w:tcBorders>
              <w:top w:val="single" w:sz="4" w:space="0" w:color="000000"/>
            </w:tcBorders>
          </w:tcPr>
          <w:p w14:paraId="2612BB9C" w14:textId="77777777" w:rsidR="0030333D" w:rsidRDefault="0030333D">
            <w:pPr>
              <w:rPr>
                <w:rFonts w:ascii="Times New Roman" w:eastAsia="Times New Roman" w:hAnsi="Times New Roman" w:cs="Times New Roman"/>
              </w:rPr>
            </w:pPr>
          </w:p>
        </w:tc>
        <w:tc>
          <w:tcPr>
            <w:tcW w:w="1064" w:type="dxa"/>
            <w:tcBorders>
              <w:top w:val="single" w:sz="4" w:space="0" w:color="000000"/>
            </w:tcBorders>
          </w:tcPr>
          <w:p w14:paraId="37B40925" w14:textId="77777777" w:rsidR="0030333D" w:rsidRDefault="0030333D">
            <w:pPr>
              <w:rPr>
                <w:rFonts w:ascii="Times New Roman" w:eastAsia="Times New Roman" w:hAnsi="Times New Roman" w:cs="Times New Roman"/>
              </w:rPr>
            </w:pPr>
          </w:p>
        </w:tc>
        <w:tc>
          <w:tcPr>
            <w:tcW w:w="1134" w:type="dxa"/>
            <w:tcBorders>
              <w:top w:val="single" w:sz="4" w:space="0" w:color="000000"/>
            </w:tcBorders>
          </w:tcPr>
          <w:p w14:paraId="10CF9022" w14:textId="77777777" w:rsidR="0030333D" w:rsidRDefault="0030333D">
            <w:pPr>
              <w:rPr>
                <w:rFonts w:ascii="Times New Roman" w:eastAsia="Times New Roman" w:hAnsi="Times New Roman" w:cs="Times New Roman"/>
              </w:rPr>
            </w:pPr>
          </w:p>
        </w:tc>
        <w:tc>
          <w:tcPr>
            <w:tcW w:w="1134" w:type="dxa"/>
            <w:tcBorders>
              <w:top w:val="single" w:sz="4" w:space="0" w:color="000000"/>
            </w:tcBorders>
          </w:tcPr>
          <w:p w14:paraId="05D92AF7" w14:textId="77777777" w:rsidR="0030333D" w:rsidRDefault="0030333D">
            <w:pPr>
              <w:rPr>
                <w:rFonts w:ascii="Times New Roman" w:eastAsia="Times New Roman" w:hAnsi="Times New Roman" w:cs="Times New Roman"/>
              </w:rPr>
            </w:pPr>
          </w:p>
        </w:tc>
      </w:tr>
      <w:tr w:rsidR="0030333D" w14:paraId="7D46E386" w14:textId="77777777">
        <w:tc>
          <w:tcPr>
            <w:tcW w:w="3396" w:type="dxa"/>
          </w:tcPr>
          <w:p w14:paraId="2192783E"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Firm size</w:t>
            </w:r>
          </w:p>
        </w:tc>
        <w:tc>
          <w:tcPr>
            <w:tcW w:w="1064" w:type="dxa"/>
          </w:tcPr>
          <w:p w14:paraId="0B1BAFC7"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0.44</w:t>
            </w:r>
          </w:p>
          <w:p w14:paraId="4033232F"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(0.41)</w:t>
            </w:r>
          </w:p>
        </w:tc>
        <w:tc>
          <w:tcPr>
            <w:tcW w:w="1134" w:type="dxa"/>
            <w:vAlign w:val="center"/>
          </w:tcPr>
          <w:p w14:paraId="04D99D44"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0.72*</w:t>
            </w:r>
          </w:p>
          <w:p w14:paraId="2B72EF5A" w14:textId="77777777" w:rsidR="0030333D" w:rsidRDefault="00000000">
            <w:pPr>
              <w:rPr>
                <w:rFonts w:ascii="Times New Roman" w:eastAsia="Times New Roman" w:hAnsi="Times New Roman" w:cs="Times New Roman"/>
                <w:highlight w:val="yellow"/>
              </w:rPr>
            </w:pPr>
            <w:r>
              <w:rPr>
                <w:rFonts w:ascii="Times New Roman" w:eastAsia="Times New Roman" w:hAnsi="Times New Roman" w:cs="Times New Roman"/>
              </w:rPr>
              <w:t>(0.42)</w:t>
            </w:r>
          </w:p>
        </w:tc>
        <w:tc>
          <w:tcPr>
            <w:tcW w:w="1134" w:type="dxa"/>
            <w:vAlign w:val="center"/>
          </w:tcPr>
          <w:p w14:paraId="73552BA1"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0.69*</w:t>
            </w:r>
          </w:p>
          <w:p w14:paraId="2577BAD2"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(0.40)</w:t>
            </w:r>
          </w:p>
        </w:tc>
      </w:tr>
      <w:tr w:rsidR="0030333D" w14:paraId="171915D8" w14:textId="77777777">
        <w:tc>
          <w:tcPr>
            <w:tcW w:w="3396" w:type="dxa"/>
          </w:tcPr>
          <w:p w14:paraId="239398B2"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ROA</w:t>
            </w:r>
          </w:p>
        </w:tc>
        <w:tc>
          <w:tcPr>
            <w:tcW w:w="1064" w:type="dxa"/>
          </w:tcPr>
          <w:p w14:paraId="7055B8CE"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-0.15</w:t>
            </w:r>
          </w:p>
          <w:p w14:paraId="239FB65E"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(0.31)</w:t>
            </w:r>
          </w:p>
        </w:tc>
        <w:tc>
          <w:tcPr>
            <w:tcW w:w="1134" w:type="dxa"/>
            <w:vAlign w:val="center"/>
          </w:tcPr>
          <w:p w14:paraId="4123ED9E"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-0.27</w:t>
            </w:r>
          </w:p>
          <w:p w14:paraId="1A5FAC74" w14:textId="77777777" w:rsidR="0030333D" w:rsidRDefault="00000000">
            <w:pPr>
              <w:rPr>
                <w:rFonts w:ascii="Times New Roman" w:eastAsia="Times New Roman" w:hAnsi="Times New Roman" w:cs="Times New Roman"/>
                <w:highlight w:val="yellow"/>
              </w:rPr>
            </w:pPr>
            <w:r>
              <w:rPr>
                <w:rFonts w:ascii="Times New Roman" w:eastAsia="Times New Roman" w:hAnsi="Times New Roman" w:cs="Times New Roman"/>
              </w:rPr>
              <w:t>(0.31)</w:t>
            </w:r>
          </w:p>
        </w:tc>
        <w:tc>
          <w:tcPr>
            <w:tcW w:w="1134" w:type="dxa"/>
            <w:vAlign w:val="center"/>
          </w:tcPr>
          <w:p w14:paraId="6367A0C0"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-0.32</w:t>
            </w:r>
          </w:p>
          <w:p w14:paraId="198ED1F3"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(0.31)</w:t>
            </w:r>
          </w:p>
        </w:tc>
      </w:tr>
      <w:tr w:rsidR="0030333D" w14:paraId="01EEC0F2" w14:textId="77777777">
        <w:tc>
          <w:tcPr>
            <w:tcW w:w="3396" w:type="dxa"/>
          </w:tcPr>
          <w:p w14:paraId="3867CCA5"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ROE</w:t>
            </w:r>
          </w:p>
        </w:tc>
        <w:tc>
          <w:tcPr>
            <w:tcW w:w="1064" w:type="dxa"/>
          </w:tcPr>
          <w:p w14:paraId="0122B33B"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-0.015</w:t>
            </w:r>
          </w:p>
          <w:p w14:paraId="2B429761"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(0.013)</w:t>
            </w:r>
          </w:p>
        </w:tc>
        <w:tc>
          <w:tcPr>
            <w:tcW w:w="1134" w:type="dxa"/>
            <w:vAlign w:val="center"/>
          </w:tcPr>
          <w:p w14:paraId="34B63FE1"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-0.014</w:t>
            </w:r>
          </w:p>
          <w:p w14:paraId="4EBD5F56" w14:textId="77777777" w:rsidR="0030333D" w:rsidRDefault="00000000">
            <w:pPr>
              <w:rPr>
                <w:rFonts w:ascii="Times New Roman" w:eastAsia="Times New Roman" w:hAnsi="Times New Roman" w:cs="Times New Roman"/>
                <w:highlight w:val="yellow"/>
              </w:rPr>
            </w:pPr>
            <w:r>
              <w:rPr>
                <w:rFonts w:ascii="Times New Roman" w:eastAsia="Times New Roman" w:hAnsi="Times New Roman" w:cs="Times New Roman"/>
              </w:rPr>
              <w:t>(0.014)</w:t>
            </w:r>
          </w:p>
        </w:tc>
        <w:tc>
          <w:tcPr>
            <w:tcW w:w="1134" w:type="dxa"/>
            <w:vAlign w:val="center"/>
          </w:tcPr>
          <w:p w14:paraId="51FF381A"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-0.021</w:t>
            </w:r>
          </w:p>
          <w:p w14:paraId="4718151C"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(0.014)</w:t>
            </w:r>
          </w:p>
        </w:tc>
      </w:tr>
      <w:tr w:rsidR="0030333D" w14:paraId="5DFB390E" w14:textId="77777777">
        <w:tc>
          <w:tcPr>
            <w:tcW w:w="3396" w:type="dxa"/>
          </w:tcPr>
          <w:p w14:paraId="3F6CBB5D"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ROIC</w:t>
            </w:r>
          </w:p>
        </w:tc>
        <w:tc>
          <w:tcPr>
            <w:tcW w:w="1064" w:type="dxa"/>
          </w:tcPr>
          <w:p w14:paraId="495CA226"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0.026</w:t>
            </w:r>
          </w:p>
          <w:p w14:paraId="01C5619A"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(0.20)</w:t>
            </w:r>
          </w:p>
        </w:tc>
        <w:tc>
          <w:tcPr>
            <w:tcW w:w="1134" w:type="dxa"/>
            <w:vAlign w:val="center"/>
          </w:tcPr>
          <w:p w14:paraId="0C3E039A"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0.086</w:t>
            </w:r>
          </w:p>
          <w:p w14:paraId="421CD655" w14:textId="77777777" w:rsidR="0030333D" w:rsidRDefault="00000000">
            <w:pPr>
              <w:rPr>
                <w:rFonts w:ascii="Times New Roman" w:eastAsia="Times New Roman" w:hAnsi="Times New Roman" w:cs="Times New Roman"/>
                <w:highlight w:val="yellow"/>
              </w:rPr>
            </w:pPr>
            <w:r>
              <w:rPr>
                <w:rFonts w:ascii="Times New Roman" w:eastAsia="Times New Roman" w:hAnsi="Times New Roman" w:cs="Times New Roman"/>
              </w:rPr>
              <w:t>(0.20)</w:t>
            </w:r>
          </w:p>
        </w:tc>
        <w:tc>
          <w:tcPr>
            <w:tcW w:w="1134" w:type="dxa"/>
            <w:vAlign w:val="center"/>
          </w:tcPr>
          <w:p w14:paraId="67574BDD"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0.11</w:t>
            </w:r>
          </w:p>
          <w:p w14:paraId="1B065BC4"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(0.21)</w:t>
            </w:r>
          </w:p>
        </w:tc>
      </w:tr>
      <w:tr w:rsidR="0030333D" w14:paraId="661BD3C6" w14:textId="77777777">
        <w:tc>
          <w:tcPr>
            <w:tcW w:w="3396" w:type="dxa"/>
          </w:tcPr>
          <w:p w14:paraId="09C8B989"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Firm Sust. Perf. Gold</w:t>
            </w:r>
          </w:p>
        </w:tc>
        <w:tc>
          <w:tcPr>
            <w:tcW w:w="1064" w:type="dxa"/>
          </w:tcPr>
          <w:p w14:paraId="74828260"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0.34</w:t>
            </w:r>
          </w:p>
          <w:p w14:paraId="4DD09343"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(1.20)</w:t>
            </w:r>
          </w:p>
        </w:tc>
        <w:tc>
          <w:tcPr>
            <w:tcW w:w="1134" w:type="dxa"/>
            <w:vAlign w:val="center"/>
          </w:tcPr>
          <w:p w14:paraId="55AE4AE1"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0.69</w:t>
            </w:r>
          </w:p>
          <w:p w14:paraId="1A7B75E7" w14:textId="77777777" w:rsidR="0030333D" w:rsidRDefault="00000000">
            <w:pPr>
              <w:rPr>
                <w:rFonts w:ascii="Times New Roman" w:eastAsia="Times New Roman" w:hAnsi="Times New Roman" w:cs="Times New Roman"/>
                <w:highlight w:val="yellow"/>
              </w:rPr>
            </w:pPr>
            <w:r>
              <w:rPr>
                <w:rFonts w:ascii="Times New Roman" w:eastAsia="Times New Roman" w:hAnsi="Times New Roman" w:cs="Times New Roman"/>
              </w:rPr>
              <w:t>(1.15)</w:t>
            </w:r>
          </w:p>
        </w:tc>
        <w:tc>
          <w:tcPr>
            <w:tcW w:w="1134" w:type="dxa"/>
            <w:vAlign w:val="center"/>
          </w:tcPr>
          <w:p w14:paraId="0D66E26F"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0.43</w:t>
            </w:r>
          </w:p>
          <w:p w14:paraId="3F0962B0" w14:textId="77777777" w:rsidR="0030333D" w:rsidRDefault="00000000">
            <w:pPr>
              <w:rPr>
                <w:rFonts w:ascii="Times New Roman" w:eastAsia="Times New Roman" w:hAnsi="Times New Roman" w:cs="Times New Roman"/>
                <w:highlight w:val="green"/>
              </w:rPr>
            </w:pPr>
            <w:r>
              <w:rPr>
                <w:rFonts w:ascii="Times New Roman" w:eastAsia="Times New Roman" w:hAnsi="Times New Roman" w:cs="Times New Roman"/>
              </w:rPr>
              <w:t>(1.13)</w:t>
            </w:r>
          </w:p>
        </w:tc>
      </w:tr>
      <w:tr w:rsidR="0030333D" w14:paraId="53E0BC37" w14:textId="77777777">
        <w:tc>
          <w:tcPr>
            <w:tcW w:w="3396" w:type="dxa"/>
          </w:tcPr>
          <w:p w14:paraId="54984AF7"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Firm Sust. Perf. Silver</w:t>
            </w:r>
          </w:p>
          <w:p w14:paraId="7180BF1E" w14:textId="77777777" w:rsidR="0030333D" w:rsidRDefault="0030333D">
            <w:pPr>
              <w:rPr>
                <w:rFonts w:ascii="Times New Roman" w:eastAsia="Times New Roman" w:hAnsi="Times New Roman" w:cs="Times New Roman"/>
              </w:rPr>
            </w:pPr>
          </w:p>
        </w:tc>
        <w:tc>
          <w:tcPr>
            <w:tcW w:w="1064" w:type="dxa"/>
          </w:tcPr>
          <w:p w14:paraId="7330D67C" w14:textId="77777777" w:rsidR="0030333D" w:rsidRDefault="00000000">
            <w:pPr>
              <w:jc w:val="center"/>
              <w:rPr>
                <w:rFonts w:ascii="Times New Roman" w:eastAsia="Times New Roman" w:hAnsi="Times New Roman" w:cs="Times New Roman"/>
              </w:rPr>
            </w:pPr>
            <w:r>
              <w:rPr>
                <w:rFonts w:ascii="Times New Roman" w:eastAsia="Times New Roman" w:hAnsi="Times New Roman" w:cs="Times New Roman"/>
              </w:rPr>
              <w:t>-</w:t>
            </w:r>
          </w:p>
          <w:p w14:paraId="33A1452A" w14:textId="77777777" w:rsidR="0030333D" w:rsidRDefault="0030333D">
            <w:pPr>
              <w:jc w:val="center"/>
              <w:rPr>
                <w:rFonts w:ascii="Times New Roman" w:eastAsia="Times New Roman" w:hAnsi="Times New Roman" w:cs="Times New Roman"/>
              </w:rPr>
            </w:pPr>
          </w:p>
        </w:tc>
        <w:tc>
          <w:tcPr>
            <w:tcW w:w="1134" w:type="dxa"/>
            <w:vAlign w:val="center"/>
          </w:tcPr>
          <w:p w14:paraId="4CE7284F" w14:textId="77777777" w:rsidR="0030333D" w:rsidRDefault="00000000">
            <w:pPr>
              <w:jc w:val="center"/>
              <w:rPr>
                <w:rFonts w:ascii="Times New Roman" w:eastAsia="Times New Roman" w:hAnsi="Times New Roman" w:cs="Times New Roman"/>
              </w:rPr>
            </w:pPr>
            <w:r>
              <w:rPr>
                <w:rFonts w:ascii="Times New Roman" w:eastAsia="Times New Roman" w:hAnsi="Times New Roman" w:cs="Times New Roman"/>
              </w:rPr>
              <w:t>-</w:t>
            </w:r>
          </w:p>
          <w:p w14:paraId="5B02468C" w14:textId="77777777" w:rsidR="0030333D" w:rsidRDefault="0030333D">
            <w:pPr>
              <w:jc w:val="center"/>
              <w:rPr>
                <w:rFonts w:ascii="Times New Roman" w:eastAsia="Times New Roman" w:hAnsi="Times New Roman" w:cs="Times New Roman"/>
                <w:highlight w:val="yellow"/>
              </w:rPr>
            </w:pPr>
          </w:p>
        </w:tc>
        <w:tc>
          <w:tcPr>
            <w:tcW w:w="1134" w:type="dxa"/>
            <w:vAlign w:val="center"/>
          </w:tcPr>
          <w:p w14:paraId="01595FA0" w14:textId="77777777" w:rsidR="0030333D" w:rsidRDefault="00000000">
            <w:pPr>
              <w:jc w:val="center"/>
              <w:rPr>
                <w:rFonts w:ascii="Times New Roman" w:eastAsia="Times New Roman" w:hAnsi="Times New Roman" w:cs="Times New Roman"/>
              </w:rPr>
            </w:pPr>
            <w:r>
              <w:rPr>
                <w:rFonts w:ascii="Times New Roman" w:eastAsia="Times New Roman" w:hAnsi="Times New Roman" w:cs="Times New Roman"/>
              </w:rPr>
              <w:t>-</w:t>
            </w:r>
          </w:p>
          <w:p w14:paraId="5CB62CC7" w14:textId="77777777" w:rsidR="0030333D" w:rsidRDefault="0030333D">
            <w:pPr>
              <w:jc w:val="center"/>
              <w:rPr>
                <w:rFonts w:ascii="Times New Roman" w:eastAsia="Times New Roman" w:hAnsi="Times New Roman" w:cs="Times New Roman"/>
                <w:highlight w:val="green"/>
              </w:rPr>
            </w:pPr>
          </w:p>
        </w:tc>
      </w:tr>
      <w:tr w:rsidR="0030333D" w14:paraId="3C6EA2C0" w14:textId="77777777">
        <w:tc>
          <w:tcPr>
            <w:tcW w:w="3396" w:type="dxa"/>
          </w:tcPr>
          <w:p w14:paraId="6FA15AD3"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Firm Sust. Perf. Bronze</w:t>
            </w:r>
          </w:p>
        </w:tc>
        <w:tc>
          <w:tcPr>
            <w:tcW w:w="1064" w:type="dxa"/>
          </w:tcPr>
          <w:p w14:paraId="1C26507C"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-0.13</w:t>
            </w:r>
          </w:p>
          <w:p w14:paraId="04EA5408"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(1.10)</w:t>
            </w:r>
          </w:p>
        </w:tc>
        <w:tc>
          <w:tcPr>
            <w:tcW w:w="1134" w:type="dxa"/>
            <w:vAlign w:val="center"/>
          </w:tcPr>
          <w:p w14:paraId="2CA6661D"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0.35</w:t>
            </w:r>
          </w:p>
          <w:p w14:paraId="06A82AA6"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(1.06)</w:t>
            </w:r>
          </w:p>
        </w:tc>
        <w:tc>
          <w:tcPr>
            <w:tcW w:w="1134" w:type="dxa"/>
            <w:vAlign w:val="center"/>
          </w:tcPr>
          <w:p w14:paraId="7C78DA0C"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0.22</w:t>
            </w:r>
          </w:p>
          <w:p w14:paraId="435203F5" w14:textId="77777777" w:rsidR="0030333D" w:rsidRDefault="00000000">
            <w:pPr>
              <w:rPr>
                <w:rFonts w:ascii="Times New Roman" w:eastAsia="Times New Roman" w:hAnsi="Times New Roman" w:cs="Times New Roman"/>
                <w:highlight w:val="green"/>
              </w:rPr>
            </w:pPr>
            <w:r>
              <w:rPr>
                <w:rFonts w:ascii="Times New Roman" w:eastAsia="Times New Roman" w:hAnsi="Times New Roman" w:cs="Times New Roman"/>
              </w:rPr>
              <w:t>(0.97)</w:t>
            </w:r>
          </w:p>
        </w:tc>
      </w:tr>
      <w:tr w:rsidR="0030333D" w14:paraId="1F11CBED" w14:textId="77777777">
        <w:tc>
          <w:tcPr>
            <w:tcW w:w="3396" w:type="dxa"/>
          </w:tcPr>
          <w:p w14:paraId="7B6663EE"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Industrials-Materials</w:t>
            </w:r>
          </w:p>
        </w:tc>
        <w:tc>
          <w:tcPr>
            <w:tcW w:w="1064" w:type="dxa"/>
          </w:tcPr>
          <w:p w14:paraId="2214ACE8"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-3.32**</w:t>
            </w:r>
          </w:p>
          <w:p w14:paraId="0E39F51C"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(1.43)</w:t>
            </w:r>
          </w:p>
        </w:tc>
        <w:tc>
          <w:tcPr>
            <w:tcW w:w="1134" w:type="dxa"/>
          </w:tcPr>
          <w:p w14:paraId="607CE8D2"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-2.92**</w:t>
            </w:r>
          </w:p>
          <w:p w14:paraId="32FC9C3A"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(1.43)</w:t>
            </w:r>
          </w:p>
        </w:tc>
        <w:tc>
          <w:tcPr>
            <w:tcW w:w="1134" w:type="dxa"/>
            <w:vAlign w:val="center"/>
          </w:tcPr>
          <w:p w14:paraId="2002320B"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 xml:space="preserve">-1.95* </w:t>
            </w:r>
          </w:p>
          <w:p w14:paraId="0F4682BA"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(1.07)</w:t>
            </w:r>
          </w:p>
        </w:tc>
      </w:tr>
      <w:tr w:rsidR="0030333D" w14:paraId="4CF96201" w14:textId="77777777">
        <w:tc>
          <w:tcPr>
            <w:tcW w:w="3396" w:type="dxa"/>
          </w:tcPr>
          <w:p w14:paraId="08C8F8FA"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Energy-Utilities</w:t>
            </w:r>
          </w:p>
        </w:tc>
        <w:tc>
          <w:tcPr>
            <w:tcW w:w="1064" w:type="dxa"/>
          </w:tcPr>
          <w:p w14:paraId="210432F0" w14:textId="77777777" w:rsidR="0030333D" w:rsidRDefault="00000000">
            <w:pPr>
              <w:jc w:val="center"/>
              <w:rPr>
                <w:rFonts w:ascii="Times New Roman" w:eastAsia="Times New Roman" w:hAnsi="Times New Roman" w:cs="Times New Roman"/>
              </w:rPr>
            </w:pPr>
            <w:r>
              <w:rPr>
                <w:rFonts w:ascii="Times New Roman" w:eastAsia="Times New Roman" w:hAnsi="Times New Roman" w:cs="Times New Roman"/>
              </w:rPr>
              <w:t>-</w:t>
            </w:r>
          </w:p>
          <w:p w14:paraId="3922E9CB" w14:textId="77777777" w:rsidR="0030333D" w:rsidRDefault="0030333D">
            <w:pPr>
              <w:rPr>
                <w:rFonts w:ascii="Times New Roman" w:eastAsia="Times New Roman" w:hAnsi="Times New Roman" w:cs="Times New Roman"/>
              </w:rPr>
            </w:pPr>
          </w:p>
        </w:tc>
        <w:tc>
          <w:tcPr>
            <w:tcW w:w="1134" w:type="dxa"/>
          </w:tcPr>
          <w:p w14:paraId="0B6FEAF7" w14:textId="77777777" w:rsidR="0030333D" w:rsidRDefault="00000000">
            <w:pPr>
              <w:jc w:val="center"/>
              <w:rPr>
                <w:rFonts w:ascii="Times New Roman" w:eastAsia="Times New Roman" w:hAnsi="Times New Roman" w:cs="Times New Roman"/>
              </w:rPr>
            </w:pPr>
            <w:r>
              <w:rPr>
                <w:rFonts w:ascii="Times New Roman" w:eastAsia="Times New Roman" w:hAnsi="Times New Roman" w:cs="Times New Roman"/>
              </w:rPr>
              <w:t>-</w:t>
            </w:r>
          </w:p>
          <w:p w14:paraId="5F95AD84" w14:textId="77777777" w:rsidR="0030333D" w:rsidRDefault="0030333D">
            <w:pPr>
              <w:rPr>
                <w:rFonts w:ascii="Times New Roman" w:eastAsia="Times New Roman" w:hAnsi="Times New Roman" w:cs="Times New Roman"/>
              </w:rPr>
            </w:pPr>
          </w:p>
        </w:tc>
        <w:tc>
          <w:tcPr>
            <w:tcW w:w="1134" w:type="dxa"/>
            <w:vAlign w:val="center"/>
          </w:tcPr>
          <w:p w14:paraId="0C2E8C1B"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0.75</w:t>
            </w:r>
          </w:p>
          <w:p w14:paraId="70C1918A" w14:textId="77777777" w:rsidR="0030333D" w:rsidRDefault="00000000">
            <w:pPr>
              <w:rPr>
                <w:rFonts w:ascii="Times New Roman" w:eastAsia="Times New Roman" w:hAnsi="Times New Roman" w:cs="Times New Roman"/>
                <w:highlight w:val="green"/>
              </w:rPr>
            </w:pPr>
            <w:r>
              <w:rPr>
                <w:rFonts w:ascii="Times New Roman" w:eastAsia="Times New Roman" w:hAnsi="Times New Roman" w:cs="Times New Roman"/>
              </w:rPr>
              <w:t>(1.42)</w:t>
            </w:r>
          </w:p>
        </w:tc>
      </w:tr>
      <w:tr w:rsidR="0030333D" w14:paraId="2707539E" w14:textId="77777777">
        <w:tc>
          <w:tcPr>
            <w:tcW w:w="3396" w:type="dxa"/>
          </w:tcPr>
          <w:p w14:paraId="16319868"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Consumer Products</w:t>
            </w:r>
          </w:p>
        </w:tc>
        <w:tc>
          <w:tcPr>
            <w:tcW w:w="1064" w:type="dxa"/>
          </w:tcPr>
          <w:p w14:paraId="07B091AC"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-2.71*</w:t>
            </w:r>
          </w:p>
          <w:p w14:paraId="1BD11654"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(1.46)</w:t>
            </w:r>
          </w:p>
        </w:tc>
        <w:tc>
          <w:tcPr>
            <w:tcW w:w="1134" w:type="dxa"/>
          </w:tcPr>
          <w:p w14:paraId="3F5259C0"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-2.22</w:t>
            </w:r>
          </w:p>
          <w:p w14:paraId="5549EE4B"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(1.44)</w:t>
            </w:r>
          </w:p>
        </w:tc>
        <w:tc>
          <w:tcPr>
            <w:tcW w:w="1134" w:type="dxa"/>
            <w:vAlign w:val="center"/>
          </w:tcPr>
          <w:p w14:paraId="1047A165"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-1.21 (1.14)</w:t>
            </w:r>
          </w:p>
        </w:tc>
      </w:tr>
      <w:tr w:rsidR="0030333D" w14:paraId="7958BC5C" w14:textId="77777777">
        <w:tc>
          <w:tcPr>
            <w:tcW w:w="3396" w:type="dxa"/>
          </w:tcPr>
          <w:p w14:paraId="5F1FA984"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Financials-Real Estate</w:t>
            </w:r>
          </w:p>
        </w:tc>
        <w:tc>
          <w:tcPr>
            <w:tcW w:w="1064" w:type="dxa"/>
          </w:tcPr>
          <w:p w14:paraId="5CB713FA"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-7.81***</w:t>
            </w:r>
          </w:p>
          <w:p w14:paraId="768654A7"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(2.03)</w:t>
            </w:r>
          </w:p>
        </w:tc>
        <w:tc>
          <w:tcPr>
            <w:tcW w:w="1134" w:type="dxa"/>
          </w:tcPr>
          <w:p w14:paraId="1A6A8E05"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-7.87***</w:t>
            </w:r>
          </w:p>
          <w:p w14:paraId="04D71955"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(1.96)</w:t>
            </w:r>
          </w:p>
        </w:tc>
        <w:tc>
          <w:tcPr>
            <w:tcW w:w="1134" w:type="dxa"/>
            <w:vAlign w:val="center"/>
          </w:tcPr>
          <w:p w14:paraId="4AF3783E"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-8.16*** (1.83)</w:t>
            </w:r>
          </w:p>
        </w:tc>
      </w:tr>
      <w:tr w:rsidR="0030333D" w14:paraId="5B3D7A40" w14:textId="77777777">
        <w:tc>
          <w:tcPr>
            <w:tcW w:w="3396" w:type="dxa"/>
          </w:tcPr>
          <w:p w14:paraId="5C3F0D75"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Communications-IT</w:t>
            </w:r>
          </w:p>
        </w:tc>
        <w:tc>
          <w:tcPr>
            <w:tcW w:w="1064" w:type="dxa"/>
          </w:tcPr>
          <w:p w14:paraId="79F41B0A"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-1.59</w:t>
            </w:r>
          </w:p>
          <w:p w14:paraId="24BE5129"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(1.59)</w:t>
            </w:r>
          </w:p>
        </w:tc>
        <w:tc>
          <w:tcPr>
            <w:tcW w:w="1134" w:type="dxa"/>
          </w:tcPr>
          <w:p w14:paraId="343C558E"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-1.46</w:t>
            </w:r>
          </w:p>
          <w:p w14:paraId="09AB0341"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(1.48)</w:t>
            </w:r>
          </w:p>
        </w:tc>
        <w:tc>
          <w:tcPr>
            <w:tcW w:w="1134" w:type="dxa"/>
            <w:vAlign w:val="center"/>
          </w:tcPr>
          <w:p w14:paraId="00A87FDA"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w:t>
            </w:r>
          </w:p>
        </w:tc>
      </w:tr>
      <w:tr w:rsidR="0030333D" w14:paraId="710E01D0" w14:textId="77777777">
        <w:tc>
          <w:tcPr>
            <w:tcW w:w="3396" w:type="dxa"/>
            <w:shd w:val="clear" w:color="auto" w:fill="auto"/>
          </w:tcPr>
          <w:p w14:paraId="6087E1F5"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Home-country SDG progress</w:t>
            </w:r>
          </w:p>
        </w:tc>
        <w:tc>
          <w:tcPr>
            <w:tcW w:w="1064" w:type="dxa"/>
          </w:tcPr>
          <w:p w14:paraId="57F47135" w14:textId="77777777" w:rsidR="0030333D" w:rsidRDefault="0030333D">
            <w:pPr>
              <w:rPr>
                <w:rFonts w:ascii="Times New Roman" w:eastAsia="Times New Roman" w:hAnsi="Times New Roman" w:cs="Times New Roman"/>
              </w:rPr>
            </w:pPr>
          </w:p>
        </w:tc>
        <w:tc>
          <w:tcPr>
            <w:tcW w:w="1134" w:type="dxa"/>
            <w:vAlign w:val="center"/>
          </w:tcPr>
          <w:p w14:paraId="57A7EC19"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-0.42***</w:t>
            </w:r>
          </w:p>
          <w:p w14:paraId="60195FDC"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(0.087)</w:t>
            </w:r>
          </w:p>
        </w:tc>
        <w:tc>
          <w:tcPr>
            <w:tcW w:w="1134" w:type="dxa"/>
            <w:vAlign w:val="center"/>
          </w:tcPr>
          <w:p w14:paraId="487F6086"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-0.45***</w:t>
            </w:r>
          </w:p>
          <w:p w14:paraId="59A6DA35" w14:textId="77777777" w:rsidR="0030333D" w:rsidRDefault="00000000">
            <w:pPr>
              <w:rPr>
                <w:rFonts w:ascii="Times New Roman" w:eastAsia="Times New Roman" w:hAnsi="Times New Roman" w:cs="Times New Roman"/>
                <w:highlight w:val="green"/>
              </w:rPr>
            </w:pPr>
            <w:r>
              <w:rPr>
                <w:rFonts w:ascii="Times New Roman" w:eastAsia="Times New Roman" w:hAnsi="Times New Roman" w:cs="Times New Roman"/>
              </w:rPr>
              <w:t>(0.099)</w:t>
            </w:r>
          </w:p>
        </w:tc>
      </w:tr>
      <w:tr w:rsidR="0030333D" w14:paraId="16722970" w14:textId="77777777">
        <w:tc>
          <w:tcPr>
            <w:tcW w:w="3396" w:type="dxa"/>
            <w:shd w:val="clear" w:color="auto" w:fill="auto"/>
          </w:tcPr>
          <w:p w14:paraId="41686B3E"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Anglo-Saxon</w:t>
            </w:r>
          </w:p>
          <w:p w14:paraId="5DE70BE7" w14:textId="77777777" w:rsidR="0030333D" w:rsidRDefault="0030333D">
            <w:pPr>
              <w:rPr>
                <w:rFonts w:ascii="Times New Roman" w:eastAsia="Times New Roman" w:hAnsi="Times New Roman" w:cs="Times New Roman"/>
              </w:rPr>
            </w:pPr>
          </w:p>
        </w:tc>
        <w:tc>
          <w:tcPr>
            <w:tcW w:w="1064" w:type="dxa"/>
          </w:tcPr>
          <w:p w14:paraId="03C089B8" w14:textId="77777777" w:rsidR="0030333D" w:rsidRDefault="0030333D">
            <w:pPr>
              <w:rPr>
                <w:rFonts w:ascii="Times New Roman" w:eastAsia="Times New Roman" w:hAnsi="Times New Roman" w:cs="Times New Roman"/>
              </w:rPr>
            </w:pPr>
          </w:p>
        </w:tc>
        <w:tc>
          <w:tcPr>
            <w:tcW w:w="1134" w:type="dxa"/>
            <w:vAlign w:val="bottom"/>
          </w:tcPr>
          <w:p w14:paraId="0C70016F" w14:textId="77777777" w:rsidR="0030333D" w:rsidRDefault="0030333D">
            <w:pPr>
              <w:rPr>
                <w:rFonts w:ascii="Times New Roman" w:eastAsia="Times New Roman" w:hAnsi="Times New Roman" w:cs="Times New Roman"/>
              </w:rPr>
            </w:pPr>
          </w:p>
        </w:tc>
        <w:tc>
          <w:tcPr>
            <w:tcW w:w="1134" w:type="dxa"/>
            <w:vAlign w:val="center"/>
          </w:tcPr>
          <w:p w14:paraId="3FF3AB88" w14:textId="77777777" w:rsidR="0030333D" w:rsidRDefault="00000000">
            <w:pPr>
              <w:jc w:val="center"/>
              <w:rPr>
                <w:rFonts w:ascii="Times New Roman" w:eastAsia="Times New Roman" w:hAnsi="Times New Roman" w:cs="Times New Roman"/>
              </w:rPr>
            </w:pPr>
            <w:r>
              <w:rPr>
                <w:rFonts w:ascii="Times New Roman" w:eastAsia="Times New Roman" w:hAnsi="Times New Roman" w:cs="Times New Roman"/>
              </w:rPr>
              <w:t>-</w:t>
            </w:r>
          </w:p>
          <w:p w14:paraId="020860B1" w14:textId="77777777" w:rsidR="0030333D" w:rsidRDefault="0030333D">
            <w:pPr>
              <w:rPr>
                <w:rFonts w:ascii="Times New Roman" w:eastAsia="Times New Roman" w:hAnsi="Times New Roman" w:cs="Times New Roman"/>
                <w:highlight w:val="green"/>
              </w:rPr>
            </w:pPr>
          </w:p>
        </w:tc>
      </w:tr>
      <w:tr w:rsidR="0030333D" w14:paraId="0C2EC3EF" w14:textId="77777777">
        <w:tc>
          <w:tcPr>
            <w:tcW w:w="3396" w:type="dxa"/>
            <w:shd w:val="clear" w:color="auto" w:fill="auto"/>
          </w:tcPr>
          <w:p w14:paraId="34AC7DF0"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Asia-Pacific</w:t>
            </w:r>
          </w:p>
        </w:tc>
        <w:tc>
          <w:tcPr>
            <w:tcW w:w="1064" w:type="dxa"/>
          </w:tcPr>
          <w:p w14:paraId="58683F45" w14:textId="77777777" w:rsidR="0030333D" w:rsidRDefault="0030333D">
            <w:pPr>
              <w:rPr>
                <w:rFonts w:ascii="Times New Roman" w:eastAsia="Times New Roman" w:hAnsi="Times New Roman" w:cs="Times New Roman"/>
              </w:rPr>
            </w:pPr>
          </w:p>
        </w:tc>
        <w:tc>
          <w:tcPr>
            <w:tcW w:w="1134" w:type="dxa"/>
          </w:tcPr>
          <w:p w14:paraId="3250272A" w14:textId="77777777" w:rsidR="0030333D" w:rsidRDefault="0030333D">
            <w:pPr>
              <w:rPr>
                <w:rFonts w:ascii="Times New Roman" w:eastAsia="Times New Roman" w:hAnsi="Times New Roman" w:cs="Times New Roman"/>
              </w:rPr>
            </w:pPr>
          </w:p>
        </w:tc>
        <w:tc>
          <w:tcPr>
            <w:tcW w:w="1134" w:type="dxa"/>
            <w:vAlign w:val="center"/>
          </w:tcPr>
          <w:p w14:paraId="47FB3BB7" w14:textId="77777777" w:rsidR="0030333D" w:rsidRDefault="00000000">
            <w:pPr>
              <w:rPr>
                <w:rFonts w:ascii="Times New Roman" w:eastAsia="Times New Roman" w:hAnsi="Times New Roman" w:cs="Times New Roman"/>
                <w:highlight w:val="green"/>
              </w:rPr>
            </w:pPr>
            <w:r>
              <w:rPr>
                <w:rFonts w:ascii="Times New Roman" w:eastAsia="Times New Roman" w:hAnsi="Times New Roman" w:cs="Times New Roman"/>
              </w:rPr>
              <w:t>-3.64*** (1.32)</w:t>
            </w:r>
          </w:p>
        </w:tc>
      </w:tr>
      <w:tr w:rsidR="0030333D" w14:paraId="1C1DBB73" w14:textId="77777777">
        <w:tc>
          <w:tcPr>
            <w:tcW w:w="3396" w:type="dxa"/>
            <w:shd w:val="clear" w:color="auto" w:fill="auto"/>
          </w:tcPr>
          <w:p w14:paraId="791F633D"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Continental Europe</w:t>
            </w:r>
          </w:p>
        </w:tc>
        <w:tc>
          <w:tcPr>
            <w:tcW w:w="1064" w:type="dxa"/>
          </w:tcPr>
          <w:p w14:paraId="442F1CF0" w14:textId="77777777" w:rsidR="0030333D" w:rsidRDefault="0030333D">
            <w:pPr>
              <w:rPr>
                <w:rFonts w:ascii="Times New Roman" w:eastAsia="Times New Roman" w:hAnsi="Times New Roman" w:cs="Times New Roman"/>
              </w:rPr>
            </w:pPr>
          </w:p>
        </w:tc>
        <w:tc>
          <w:tcPr>
            <w:tcW w:w="1134" w:type="dxa"/>
          </w:tcPr>
          <w:p w14:paraId="5E75EDBD" w14:textId="77777777" w:rsidR="0030333D" w:rsidRDefault="0030333D">
            <w:pPr>
              <w:rPr>
                <w:rFonts w:ascii="Times New Roman" w:eastAsia="Times New Roman" w:hAnsi="Times New Roman" w:cs="Times New Roman"/>
              </w:rPr>
            </w:pPr>
          </w:p>
        </w:tc>
        <w:tc>
          <w:tcPr>
            <w:tcW w:w="1134" w:type="dxa"/>
            <w:vAlign w:val="center"/>
          </w:tcPr>
          <w:p w14:paraId="6D2E6198"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0.43</w:t>
            </w:r>
          </w:p>
          <w:p w14:paraId="276300AD"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(1.31)</w:t>
            </w:r>
          </w:p>
        </w:tc>
      </w:tr>
      <w:tr w:rsidR="0030333D" w14:paraId="6C1B17C8" w14:textId="77777777">
        <w:tc>
          <w:tcPr>
            <w:tcW w:w="3396" w:type="dxa"/>
            <w:tcBorders>
              <w:bottom w:val="single" w:sz="4" w:space="0" w:color="000000"/>
            </w:tcBorders>
          </w:tcPr>
          <w:p w14:paraId="3BACF302" w14:textId="77777777" w:rsidR="0030333D" w:rsidRDefault="00000000">
            <w:pPr>
              <w:rPr>
                <w:rFonts w:ascii="Times New Roman" w:eastAsia="Times New Roman" w:hAnsi="Times New Roman" w:cs="Times New Roman"/>
                <w:highlight w:val="cyan"/>
              </w:rPr>
            </w:pPr>
            <w:r>
              <w:rPr>
                <w:rFonts w:ascii="Times New Roman" w:eastAsia="Times New Roman" w:hAnsi="Times New Roman" w:cs="Times New Roman"/>
              </w:rPr>
              <w:t>R2 (ΔR2)</w:t>
            </w:r>
          </w:p>
        </w:tc>
        <w:tc>
          <w:tcPr>
            <w:tcW w:w="1064" w:type="dxa"/>
            <w:tcBorders>
              <w:bottom w:val="single" w:sz="4" w:space="0" w:color="000000"/>
            </w:tcBorders>
          </w:tcPr>
          <w:p w14:paraId="74F37175"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 xml:space="preserve">0.1162 </w:t>
            </w:r>
          </w:p>
          <w:p w14:paraId="3A549EA0"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w:t>
            </w:r>
          </w:p>
        </w:tc>
        <w:tc>
          <w:tcPr>
            <w:tcW w:w="1134" w:type="dxa"/>
            <w:tcBorders>
              <w:bottom w:val="single" w:sz="4" w:space="0" w:color="000000"/>
            </w:tcBorders>
          </w:tcPr>
          <w:p w14:paraId="5B56232F"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0.2244 (0.1082)</w:t>
            </w:r>
          </w:p>
        </w:tc>
        <w:tc>
          <w:tcPr>
            <w:tcW w:w="1134" w:type="dxa"/>
            <w:tcBorders>
              <w:bottom w:val="single" w:sz="4" w:space="0" w:color="000000"/>
            </w:tcBorders>
            <w:vAlign w:val="center"/>
          </w:tcPr>
          <w:p w14:paraId="1290B1B8" w14:textId="77777777" w:rsidR="0030333D" w:rsidRDefault="00000000">
            <w:pPr>
              <w:rPr>
                <w:rFonts w:ascii="Times New Roman" w:eastAsia="Times New Roman" w:hAnsi="Times New Roman" w:cs="Times New Roman"/>
              </w:rPr>
            </w:pPr>
            <w:r>
              <w:rPr>
                <w:rFonts w:ascii="Times New Roman" w:eastAsia="Times New Roman" w:hAnsi="Times New Roman" w:cs="Times New Roman"/>
              </w:rPr>
              <w:t>0.3261</w:t>
            </w:r>
          </w:p>
          <w:p w14:paraId="53FEAC0C" w14:textId="77777777" w:rsidR="0030333D" w:rsidRDefault="00000000">
            <w:pPr>
              <w:rPr>
                <w:rFonts w:ascii="Times New Roman" w:eastAsia="Times New Roman" w:hAnsi="Times New Roman" w:cs="Times New Roman"/>
                <w:highlight w:val="green"/>
              </w:rPr>
            </w:pPr>
            <w:r>
              <w:rPr>
                <w:rFonts w:ascii="Times New Roman" w:eastAsia="Times New Roman" w:hAnsi="Times New Roman" w:cs="Times New Roman"/>
              </w:rPr>
              <w:t>(0.1017)</w:t>
            </w:r>
          </w:p>
        </w:tc>
      </w:tr>
    </w:tbl>
    <w:p w14:paraId="666C422C" w14:textId="77777777" w:rsidR="0030333D" w:rsidRDefault="00000000">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Dependent variable: Firm emphasis on SDGs. Overall value</w:t>
      </w:r>
    </w:p>
    <w:p w14:paraId="62338F30" w14:textId="77777777" w:rsidR="0030333D" w:rsidRDefault="00000000">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Robust standard errors (clustered at company level) are in parenthesis.</w:t>
      </w:r>
    </w:p>
    <w:p w14:paraId="6F091248" w14:textId="77777777" w:rsidR="0030333D" w:rsidRDefault="00000000">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p</w:t>
      </w:r>
      <w:r>
        <w:rPr>
          <w:rFonts w:ascii="Times New Roman" w:eastAsia="Times New Roman" w:hAnsi="Times New Roman" w:cs="Times New Roman"/>
          <w:color w:val="000000"/>
          <w:sz w:val="24"/>
          <w:szCs w:val="24"/>
        </w:rPr>
        <w:t xml:space="preserve"> &lt; 0.10; ** </w:t>
      </w:r>
      <w:r>
        <w:rPr>
          <w:rFonts w:ascii="Times New Roman" w:eastAsia="Times New Roman" w:hAnsi="Times New Roman" w:cs="Times New Roman"/>
          <w:i/>
          <w:color w:val="000000"/>
          <w:sz w:val="24"/>
          <w:szCs w:val="24"/>
        </w:rPr>
        <w:t>p</w:t>
      </w:r>
      <w:r>
        <w:rPr>
          <w:rFonts w:ascii="Times New Roman" w:eastAsia="Times New Roman" w:hAnsi="Times New Roman" w:cs="Times New Roman"/>
          <w:color w:val="000000"/>
          <w:sz w:val="24"/>
          <w:szCs w:val="24"/>
        </w:rPr>
        <w:t xml:space="preserve"> &lt; 0.05; *** </w:t>
      </w:r>
      <w:r>
        <w:rPr>
          <w:rFonts w:ascii="Times New Roman" w:eastAsia="Times New Roman" w:hAnsi="Times New Roman" w:cs="Times New Roman"/>
          <w:i/>
          <w:color w:val="000000"/>
          <w:sz w:val="24"/>
          <w:szCs w:val="24"/>
        </w:rPr>
        <w:t>p</w:t>
      </w:r>
      <w:r>
        <w:rPr>
          <w:rFonts w:ascii="Times New Roman" w:eastAsia="Times New Roman" w:hAnsi="Times New Roman" w:cs="Times New Roman"/>
          <w:color w:val="000000"/>
          <w:sz w:val="24"/>
          <w:szCs w:val="24"/>
        </w:rPr>
        <w:t xml:space="preserve"> &lt; 0.01 </w:t>
      </w:r>
    </w:p>
    <w:p w14:paraId="4A0F38EF" w14:textId="77777777" w:rsidR="0030333D" w:rsidRDefault="0030333D">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p>
    <w:p w14:paraId="45080E80" w14:textId="77777777" w:rsidR="0030333D" w:rsidRDefault="0030333D">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p>
    <w:p w14:paraId="612130FF" w14:textId="77777777" w:rsidR="0030333D" w:rsidRDefault="00000000">
      <w:pPr>
        <w:jc w:val="both"/>
        <w:rPr>
          <w:rFonts w:ascii="Times New Roman" w:eastAsia="Times New Roman" w:hAnsi="Times New Roman" w:cs="Times New Roman"/>
        </w:rPr>
        <w:sectPr w:rsidR="0030333D" w:rsidSect="00702120">
          <w:headerReference w:type="default" r:id="rId41"/>
          <w:footerReference w:type="even" r:id="rId42"/>
          <w:footerReference w:type="default" r:id="rId43"/>
          <w:pgSz w:w="12240" w:h="15840"/>
          <w:pgMar w:top="1440" w:right="1440" w:bottom="1440" w:left="1440" w:header="720" w:footer="720" w:gutter="0"/>
          <w:cols w:space="720"/>
        </w:sectPr>
      </w:pPr>
      <w:bookmarkStart w:id="2" w:name="_heading=h.1fob9te" w:colFirst="0" w:colLast="0"/>
      <w:bookmarkEnd w:id="2"/>
      <w:r>
        <w:br w:type="page"/>
      </w:r>
    </w:p>
    <w:p w14:paraId="51618113" w14:textId="77777777" w:rsidR="0030333D" w:rsidRDefault="00000000">
      <w:pPr>
        <w:jc w:val="both"/>
        <w:rPr>
          <w:rFonts w:ascii="Times New Roman" w:eastAsia="Times New Roman" w:hAnsi="Times New Roman" w:cs="Times New Roman"/>
          <w:b/>
        </w:rPr>
      </w:pPr>
      <w:r>
        <w:rPr>
          <w:rFonts w:ascii="Times New Roman" w:eastAsia="Times New Roman" w:hAnsi="Times New Roman" w:cs="Times New Roman"/>
          <w:b/>
        </w:rPr>
        <w:lastRenderedPageBreak/>
        <w:t>Table 6. Result of the regression analysis - Individual SDG values.</w:t>
      </w:r>
      <w:r>
        <w:rPr>
          <w:rFonts w:ascii="Times New Roman" w:eastAsia="Times New Roman" w:hAnsi="Times New Roman" w:cs="Times New Roman"/>
          <w:b/>
          <w:sz w:val="20"/>
          <w:szCs w:val="20"/>
        </w:rPr>
        <w:t xml:space="preserve"> </w:t>
      </w:r>
    </w:p>
    <w:tbl>
      <w:tblPr>
        <w:tblStyle w:val="affffd"/>
        <w:tblW w:w="128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6"/>
        <w:gridCol w:w="691"/>
        <w:gridCol w:w="691"/>
        <w:gridCol w:w="691"/>
        <w:gridCol w:w="691"/>
        <w:gridCol w:w="691"/>
        <w:gridCol w:w="685"/>
        <w:gridCol w:w="720"/>
        <w:gridCol w:w="810"/>
        <w:gridCol w:w="720"/>
        <w:gridCol w:w="630"/>
        <w:gridCol w:w="630"/>
        <w:gridCol w:w="778"/>
        <w:gridCol w:w="720"/>
        <w:gridCol w:w="691"/>
        <w:gridCol w:w="601"/>
        <w:gridCol w:w="691"/>
        <w:gridCol w:w="691"/>
      </w:tblGrid>
      <w:tr w:rsidR="0030333D" w14:paraId="67D02FCA" w14:textId="77777777">
        <w:trPr>
          <w:trHeight w:val="432"/>
        </w:trPr>
        <w:tc>
          <w:tcPr>
            <w:tcW w:w="987" w:type="dxa"/>
            <w:tcBorders>
              <w:top w:val="single" w:sz="4" w:space="0" w:color="000000"/>
            </w:tcBorders>
            <w:shd w:val="clear" w:color="auto" w:fill="auto"/>
            <w:vAlign w:val="center"/>
          </w:tcPr>
          <w:p w14:paraId="24A198F6" w14:textId="77777777" w:rsidR="0030333D" w:rsidRDefault="0030333D">
            <w:pPr>
              <w:rPr>
                <w:rFonts w:ascii="Times New Roman" w:eastAsia="Times New Roman" w:hAnsi="Times New Roman" w:cs="Times New Roman"/>
                <w:sz w:val="18"/>
                <w:szCs w:val="18"/>
              </w:rPr>
            </w:pPr>
          </w:p>
        </w:tc>
        <w:tc>
          <w:tcPr>
            <w:tcW w:w="691" w:type="dxa"/>
            <w:tcBorders>
              <w:top w:val="single" w:sz="4" w:space="0" w:color="000000"/>
              <w:bottom w:val="single" w:sz="4" w:space="0" w:color="000000"/>
            </w:tcBorders>
            <w:shd w:val="clear" w:color="auto" w:fill="EDEDED"/>
            <w:vAlign w:val="center"/>
          </w:tcPr>
          <w:p w14:paraId="6675CDC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SDG 1</w:t>
            </w:r>
          </w:p>
        </w:tc>
        <w:tc>
          <w:tcPr>
            <w:tcW w:w="691" w:type="dxa"/>
            <w:tcBorders>
              <w:top w:val="single" w:sz="4" w:space="0" w:color="000000"/>
              <w:bottom w:val="single" w:sz="4" w:space="0" w:color="000000"/>
            </w:tcBorders>
            <w:shd w:val="clear" w:color="auto" w:fill="auto"/>
            <w:vAlign w:val="center"/>
          </w:tcPr>
          <w:p w14:paraId="50648F9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SDG2</w:t>
            </w:r>
          </w:p>
        </w:tc>
        <w:tc>
          <w:tcPr>
            <w:tcW w:w="691" w:type="dxa"/>
            <w:tcBorders>
              <w:top w:val="single" w:sz="4" w:space="0" w:color="000000"/>
              <w:bottom w:val="single" w:sz="4" w:space="0" w:color="000000"/>
            </w:tcBorders>
            <w:shd w:val="clear" w:color="auto" w:fill="EDEDED"/>
            <w:vAlign w:val="center"/>
          </w:tcPr>
          <w:p w14:paraId="3CE6034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SDG3</w:t>
            </w:r>
          </w:p>
        </w:tc>
        <w:tc>
          <w:tcPr>
            <w:tcW w:w="691" w:type="dxa"/>
            <w:tcBorders>
              <w:top w:val="single" w:sz="4" w:space="0" w:color="000000"/>
              <w:bottom w:val="single" w:sz="4" w:space="0" w:color="000000"/>
            </w:tcBorders>
            <w:shd w:val="clear" w:color="auto" w:fill="auto"/>
            <w:vAlign w:val="center"/>
          </w:tcPr>
          <w:p w14:paraId="5F17953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SDG4</w:t>
            </w:r>
          </w:p>
        </w:tc>
        <w:tc>
          <w:tcPr>
            <w:tcW w:w="691" w:type="dxa"/>
            <w:tcBorders>
              <w:top w:val="single" w:sz="4" w:space="0" w:color="000000"/>
              <w:bottom w:val="single" w:sz="4" w:space="0" w:color="000000"/>
            </w:tcBorders>
            <w:shd w:val="clear" w:color="auto" w:fill="EDEDED"/>
            <w:vAlign w:val="center"/>
          </w:tcPr>
          <w:p w14:paraId="26C3B566"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SDG5</w:t>
            </w:r>
          </w:p>
        </w:tc>
        <w:tc>
          <w:tcPr>
            <w:tcW w:w="685" w:type="dxa"/>
            <w:tcBorders>
              <w:top w:val="single" w:sz="4" w:space="0" w:color="000000"/>
              <w:bottom w:val="single" w:sz="4" w:space="0" w:color="000000"/>
            </w:tcBorders>
            <w:shd w:val="clear" w:color="auto" w:fill="auto"/>
            <w:vAlign w:val="center"/>
          </w:tcPr>
          <w:p w14:paraId="3D12C4C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SDG6</w:t>
            </w:r>
          </w:p>
        </w:tc>
        <w:tc>
          <w:tcPr>
            <w:tcW w:w="720" w:type="dxa"/>
            <w:tcBorders>
              <w:top w:val="single" w:sz="4" w:space="0" w:color="000000"/>
              <w:bottom w:val="single" w:sz="4" w:space="0" w:color="000000"/>
            </w:tcBorders>
            <w:shd w:val="clear" w:color="auto" w:fill="EDEDED"/>
            <w:vAlign w:val="center"/>
          </w:tcPr>
          <w:p w14:paraId="1414AF8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SDG7</w:t>
            </w:r>
          </w:p>
        </w:tc>
        <w:tc>
          <w:tcPr>
            <w:tcW w:w="810" w:type="dxa"/>
            <w:tcBorders>
              <w:top w:val="single" w:sz="4" w:space="0" w:color="000000"/>
              <w:bottom w:val="single" w:sz="4" w:space="0" w:color="000000"/>
            </w:tcBorders>
            <w:shd w:val="clear" w:color="auto" w:fill="auto"/>
            <w:vAlign w:val="center"/>
          </w:tcPr>
          <w:p w14:paraId="789EE40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SDG8</w:t>
            </w:r>
          </w:p>
        </w:tc>
        <w:tc>
          <w:tcPr>
            <w:tcW w:w="720" w:type="dxa"/>
            <w:tcBorders>
              <w:top w:val="single" w:sz="4" w:space="0" w:color="000000"/>
              <w:bottom w:val="single" w:sz="4" w:space="0" w:color="000000"/>
            </w:tcBorders>
            <w:shd w:val="clear" w:color="auto" w:fill="EDEDED"/>
            <w:vAlign w:val="center"/>
          </w:tcPr>
          <w:p w14:paraId="029F92E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SDG9</w:t>
            </w:r>
          </w:p>
        </w:tc>
        <w:tc>
          <w:tcPr>
            <w:tcW w:w="630" w:type="dxa"/>
            <w:tcBorders>
              <w:top w:val="single" w:sz="4" w:space="0" w:color="000000"/>
              <w:bottom w:val="single" w:sz="4" w:space="0" w:color="000000"/>
            </w:tcBorders>
            <w:shd w:val="clear" w:color="auto" w:fill="auto"/>
            <w:vAlign w:val="center"/>
          </w:tcPr>
          <w:p w14:paraId="3ED45D9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SDG10</w:t>
            </w:r>
          </w:p>
        </w:tc>
        <w:tc>
          <w:tcPr>
            <w:tcW w:w="630" w:type="dxa"/>
            <w:tcBorders>
              <w:top w:val="single" w:sz="4" w:space="0" w:color="000000"/>
              <w:bottom w:val="single" w:sz="4" w:space="0" w:color="000000"/>
            </w:tcBorders>
            <w:shd w:val="clear" w:color="auto" w:fill="EDEDED"/>
            <w:vAlign w:val="center"/>
          </w:tcPr>
          <w:p w14:paraId="741785B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SDG11</w:t>
            </w:r>
          </w:p>
        </w:tc>
        <w:tc>
          <w:tcPr>
            <w:tcW w:w="778" w:type="dxa"/>
            <w:tcBorders>
              <w:top w:val="single" w:sz="4" w:space="0" w:color="000000"/>
              <w:bottom w:val="single" w:sz="4" w:space="0" w:color="000000"/>
            </w:tcBorders>
            <w:shd w:val="clear" w:color="auto" w:fill="auto"/>
            <w:vAlign w:val="center"/>
          </w:tcPr>
          <w:p w14:paraId="45715A6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SDG12</w:t>
            </w:r>
          </w:p>
        </w:tc>
        <w:tc>
          <w:tcPr>
            <w:tcW w:w="720" w:type="dxa"/>
            <w:tcBorders>
              <w:top w:val="single" w:sz="4" w:space="0" w:color="000000"/>
              <w:bottom w:val="single" w:sz="4" w:space="0" w:color="000000"/>
            </w:tcBorders>
            <w:shd w:val="clear" w:color="auto" w:fill="EDEDED"/>
            <w:vAlign w:val="center"/>
          </w:tcPr>
          <w:p w14:paraId="28A5FFC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SDG13</w:t>
            </w:r>
          </w:p>
        </w:tc>
        <w:tc>
          <w:tcPr>
            <w:tcW w:w="691" w:type="dxa"/>
            <w:tcBorders>
              <w:top w:val="single" w:sz="4" w:space="0" w:color="000000"/>
              <w:bottom w:val="single" w:sz="4" w:space="0" w:color="000000"/>
            </w:tcBorders>
            <w:shd w:val="clear" w:color="auto" w:fill="auto"/>
            <w:vAlign w:val="center"/>
          </w:tcPr>
          <w:p w14:paraId="03515CE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SDG14</w:t>
            </w:r>
          </w:p>
        </w:tc>
        <w:tc>
          <w:tcPr>
            <w:tcW w:w="601" w:type="dxa"/>
            <w:tcBorders>
              <w:top w:val="single" w:sz="4" w:space="0" w:color="000000"/>
              <w:bottom w:val="single" w:sz="4" w:space="0" w:color="000000"/>
            </w:tcBorders>
            <w:shd w:val="clear" w:color="auto" w:fill="EDEDED"/>
            <w:vAlign w:val="center"/>
          </w:tcPr>
          <w:p w14:paraId="63655F22"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SDG15</w:t>
            </w:r>
          </w:p>
        </w:tc>
        <w:tc>
          <w:tcPr>
            <w:tcW w:w="691" w:type="dxa"/>
            <w:tcBorders>
              <w:top w:val="single" w:sz="4" w:space="0" w:color="000000"/>
              <w:bottom w:val="single" w:sz="4" w:space="0" w:color="000000"/>
            </w:tcBorders>
            <w:shd w:val="clear" w:color="auto" w:fill="auto"/>
            <w:vAlign w:val="center"/>
          </w:tcPr>
          <w:p w14:paraId="42FF800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SDG16</w:t>
            </w:r>
          </w:p>
        </w:tc>
        <w:tc>
          <w:tcPr>
            <w:tcW w:w="691" w:type="dxa"/>
            <w:tcBorders>
              <w:top w:val="single" w:sz="4" w:space="0" w:color="000000"/>
              <w:bottom w:val="single" w:sz="4" w:space="0" w:color="000000"/>
            </w:tcBorders>
            <w:shd w:val="clear" w:color="auto" w:fill="EDEDED"/>
            <w:vAlign w:val="center"/>
          </w:tcPr>
          <w:p w14:paraId="5EE08EB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SDG17</w:t>
            </w:r>
          </w:p>
        </w:tc>
      </w:tr>
      <w:tr w:rsidR="0030333D" w14:paraId="3EA2E916" w14:textId="77777777">
        <w:trPr>
          <w:trHeight w:val="461"/>
        </w:trPr>
        <w:tc>
          <w:tcPr>
            <w:tcW w:w="987" w:type="dxa"/>
            <w:shd w:val="clear" w:color="auto" w:fill="auto"/>
          </w:tcPr>
          <w:p w14:paraId="38C63765" w14:textId="77777777" w:rsidR="0030333D" w:rsidRDefault="00000000">
            <w:pPr>
              <w:rPr>
                <w:rFonts w:ascii="Times New Roman" w:eastAsia="Times New Roman" w:hAnsi="Times New Roman" w:cs="Times New Roman"/>
                <w:sz w:val="18"/>
                <w:szCs w:val="18"/>
              </w:rPr>
            </w:pPr>
            <w:r>
              <w:rPr>
                <w:rFonts w:ascii="Times New Roman" w:eastAsia="Times New Roman" w:hAnsi="Times New Roman" w:cs="Times New Roman"/>
                <w:sz w:val="18"/>
                <w:szCs w:val="18"/>
              </w:rPr>
              <w:t>Firm size</w:t>
            </w:r>
          </w:p>
        </w:tc>
        <w:tc>
          <w:tcPr>
            <w:tcW w:w="691" w:type="dxa"/>
            <w:tcBorders>
              <w:top w:val="single" w:sz="4" w:space="0" w:color="000000"/>
            </w:tcBorders>
            <w:shd w:val="clear" w:color="auto" w:fill="EDEDED"/>
          </w:tcPr>
          <w:p w14:paraId="2747DD75"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0.51</w:t>
            </w:r>
          </w:p>
          <w:p w14:paraId="0B079B16"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(0.38)</w:t>
            </w:r>
          </w:p>
        </w:tc>
        <w:tc>
          <w:tcPr>
            <w:tcW w:w="691" w:type="dxa"/>
            <w:tcBorders>
              <w:top w:val="single" w:sz="4" w:space="0" w:color="000000"/>
            </w:tcBorders>
            <w:shd w:val="clear" w:color="auto" w:fill="auto"/>
          </w:tcPr>
          <w:p w14:paraId="3DD55CB4"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1.21*</w:t>
            </w:r>
          </w:p>
          <w:p w14:paraId="3D524AB2"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(0.71)</w:t>
            </w:r>
          </w:p>
        </w:tc>
        <w:tc>
          <w:tcPr>
            <w:tcW w:w="691" w:type="dxa"/>
            <w:tcBorders>
              <w:top w:val="single" w:sz="4" w:space="0" w:color="000000"/>
            </w:tcBorders>
            <w:shd w:val="clear" w:color="auto" w:fill="EDEDED"/>
          </w:tcPr>
          <w:p w14:paraId="19085852"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2.72***</w:t>
            </w:r>
          </w:p>
          <w:p w14:paraId="70310A7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(1.00)</w:t>
            </w:r>
          </w:p>
        </w:tc>
        <w:tc>
          <w:tcPr>
            <w:tcW w:w="691" w:type="dxa"/>
            <w:tcBorders>
              <w:top w:val="single" w:sz="4" w:space="0" w:color="000000"/>
            </w:tcBorders>
            <w:shd w:val="clear" w:color="auto" w:fill="auto"/>
          </w:tcPr>
          <w:p w14:paraId="246B7EC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0.88**</w:t>
            </w:r>
          </w:p>
          <w:p w14:paraId="4AEB6266"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(0.44)</w:t>
            </w:r>
          </w:p>
        </w:tc>
        <w:tc>
          <w:tcPr>
            <w:tcW w:w="691" w:type="dxa"/>
            <w:tcBorders>
              <w:top w:val="single" w:sz="4" w:space="0" w:color="000000"/>
            </w:tcBorders>
            <w:shd w:val="clear" w:color="auto" w:fill="EDEDED"/>
          </w:tcPr>
          <w:p w14:paraId="432AAF2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0.45</w:t>
            </w:r>
          </w:p>
          <w:p w14:paraId="578F668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(0.34)</w:t>
            </w:r>
          </w:p>
        </w:tc>
        <w:tc>
          <w:tcPr>
            <w:tcW w:w="685" w:type="dxa"/>
            <w:tcBorders>
              <w:top w:val="single" w:sz="4" w:space="0" w:color="000000"/>
            </w:tcBorders>
            <w:shd w:val="clear" w:color="auto" w:fill="auto"/>
          </w:tcPr>
          <w:p w14:paraId="335D3BA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0.31</w:t>
            </w:r>
          </w:p>
          <w:p w14:paraId="1AC77EF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(1.18)</w:t>
            </w:r>
          </w:p>
        </w:tc>
        <w:tc>
          <w:tcPr>
            <w:tcW w:w="720" w:type="dxa"/>
            <w:tcBorders>
              <w:top w:val="single" w:sz="4" w:space="0" w:color="000000"/>
            </w:tcBorders>
            <w:shd w:val="clear" w:color="auto" w:fill="EDEDED"/>
          </w:tcPr>
          <w:p w14:paraId="725EB42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-0.91</w:t>
            </w:r>
          </w:p>
          <w:p w14:paraId="36312D2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(1.05)</w:t>
            </w:r>
          </w:p>
        </w:tc>
        <w:tc>
          <w:tcPr>
            <w:tcW w:w="810" w:type="dxa"/>
            <w:tcBorders>
              <w:top w:val="single" w:sz="4" w:space="0" w:color="000000"/>
            </w:tcBorders>
            <w:shd w:val="clear" w:color="auto" w:fill="auto"/>
          </w:tcPr>
          <w:p w14:paraId="179D2E6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0.40</w:t>
            </w:r>
          </w:p>
          <w:p w14:paraId="040A9A2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(0.67)</w:t>
            </w:r>
          </w:p>
        </w:tc>
        <w:tc>
          <w:tcPr>
            <w:tcW w:w="720" w:type="dxa"/>
            <w:tcBorders>
              <w:top w:val="single" w:sz="4" w:space="0" w:color="000000"/>
            </w:tcBorders>
            <w:shd w:val="clear" w:color="auto" w:fill="EDEDED"/>
          </w:tcPr>
          <w:p w14:paraId="25C7ED5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0.81</w:t>
            </w:r>
          </w:p>
          <w:p w14:paraId="01E8ADB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(0.80)</w:t>
            </w:r>
          </w:p>
        </w:tc>
        <w:tc>
          <w:tcPr>
            <w:tcW w:w="630" w:type="dxa"/>
            <w:tcBorders>
              <w:top w:val="single" w:sz="4" w:space="0" w:color="000000"/>
            </w:tcBorders>
            <w:shd w:val="clear" w:color="auto" w:fill="auto"/>
          </w:tcPr>
          <w:p w14:paraId="565C5B02"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0.22</w:t>
            </w:r>
          </w:p>
          <w:p w14:paraId="301C314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(0.36)</w:t>
            </w:r>
          </w:p>
        </w:tc>
        <w:tc>
          <w:tcPr>
            <w:tcW w:w="630" w:type="dxa"/>
            <w:tcBorders>
              <w:top w:val="single" w:sz="4" w:space="0" w:color="000000"/>
            </w:tcBorders>
            <w:shd w:val="clear" w:color="auto" w:fill="EDEDED"/>
          </w:tcPr>
          <w:p w14:paraId="449C0BB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0.26</w:t>
            </w:r>
          </w:p>
          <w:p w14:paraId="317A8D4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(0.58)</w:t>
            </w:r>
          </w:p>
        </w:tc>
        <w:tc>
          <w:tcPr>
            <w:tcW w:w="778" w:type="dxa"/>
            <w:tcBorders>
              <w:top w:val="single" w:sz="4" w:space="0" w:color="000000"/>
            </w:tcBorders>
            <w:shd w:val="clear" w:color="auto" w:fill="auto"/>
          </w:tcPr>
          <w:p w14:paraId="4589B04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-0.05</w:t>
            </w:r>
          </w:p>
          <w:p w14:paraId="4E3D9B4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(1.08)</w:t>
            </w:r>
          </w:p>
        </w:tc>
        <w:tc>
          <w:tcPr>
            <w:tcW w:w="720" w:type="dxa"/>
            <w:tcBorders>
              <w:top w:val="single" w:sz="4" w:space="0" w:color="000000"/>
            </w:tcBorders>
            <w:shd w:val="clear" w:color="auto" w:fill="EDEDED"/>
          </w:tcPr>
          <w:p w14:paraId="2C7B68D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-0.49</w:t>
            </w:r>
          </w:p>
          <w:p w14:paraId="157286E2"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(0.99)</w:t>
            </w:r>
          </w:p>
        </w:tc>
        <w:tc>
          <w:tcPr>
            <w:tcW w:w="691" w:type="dxa"/>
            <w:tcBorders>
              <w:top w:val="single" w:sz="4" w:space="0" w:color="000000"/>
            </w:tcBorders>
            <w:shd w:val="clear" w:color="auto" w:fill="auto"/>
          </w:tcPr>
          <w:p w14:paraId="65AD401A"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0.51</w:t>
            </w:r>
          </w:p>
          <w:p w14:paraId="4281018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(0.52)</w:t>
            </w:r>
          </w:p>
        </w:tc>
        <w:tc>
          <w:tcPr>
            <w:tcW w:w="601" w:type="dxa"/>
            <w:tcBorders>
              <w:top w:val="single" w:sz="4" w:space="0" w:color="000000"/>
            </w:tcBorders>
            <w:shd w:val="clear" w:color="auto" w:fill="EDEDED"/>
          </w:tcPr>
          <w:p w14:paraId="6A24A14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0.24</w:t>
            </w:r>
          </w:p>
          <w:p w14:paraId="1A4D4AEA"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(0.50)</w:t>
            </w:r>
          </w:p>
        </w:tc>
        <w:tc>
          <w:tcPr>
            <w:tcW w:w="691" w:type="dxa"/>
            <w:tcBorders>
              <w:top w:val="single" w:sz="4" w:space="0" w:color="000000"/>
            </w:tcBorders>
            <w:shd w:val="clear" w:color="auto" w:fill="auto"/>
          </w:tcPr>
          <w:p w14:paraId="223FA61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0.84*</w:t>
            </w:r>
          </w:p>
          <w:p w14:paraId="7ED4555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(0.45)</w:t>
            </w:r>
          </w:p>
        </w:tc>
        <w:tc>
          <w:tcPr>
            <w:tcW w:w="691" w:type="dxa"/>
            <w:tcBorders>
              <w:top w:val="single" w:sz="4" w:space="0" w:color="000000"/>
            </w:tcBorders>
            <w:shd w:val="clear" w:color="auto" w:fill="EDEDED"/>
          </w:tcPr>
          <w:p w14:paraId="32DBBEC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0.89</w:t>
            </w:r>
          </w:p>
          <w:p w14:paraId="3332CB02"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(0.58)</w:t>
            </w:r>
          </w:p>
        </w:tc>
      </w:tr>
      <w:tr w:rsidR="0030333D" w14:paraId="0F5C96C3" w14:textId="77777777">
        <w:trPr>
          <w:trHeight w:val="461"/>
        </w:trPr>
        <w:tc>
          <w:tcPr>
            <w:tcW w:w="987" w:type="dxa"/>
            <w:shd w:val="clear" w:color="auto" w:fill="auto"/>
          </w:tcPr>
          <w:p w14:paraId="0AD4D746" w14:textId="77777777" w:rsidR="0030333D" w:rsidRDefault="00000000">
            <w:pPr>
              <w:rPr>
                <w:rFonts w:ascii="Times New Roman" w:eastAsia="Times New Roman" w:hAnsi="Times New Roman" w:cs="Times New Roman"/>
                <w:b/>
                <w:color w:val="000000"/>
                <w:sz w:val="18"/>
                <w:szCs w:val="18"/>
              </w:rPr>
            </w:pPr>
            <w:r>
              <w:rPr>
                <w:rFonts w:ascii="Times New Roman" w:eastAsia="Times New Roman" w:hAnsi="Times New Roman" w:cs="Times New Roman"/>
                <w:sz w:val="18"/>
                <w:szCs w:val="18"/>
              </w:rPr>
              <w:t>ROA</w:t>
            </w:r>
          </w:p>
        </w:tc>
        <w:tc>
          <w:tcPr>
            <w:tcW w:w="691" w:type="dxa"/>
            <w:shd w:val="clear" w:color="auto" w:fill="EDEDED"/>
          </w:tcPr>
          <w:p w14:paraId="22534996"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-0.37</w:t>
            </w:r>
          </w:p>
          <w:p w14:paraId="703AB8F6"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(.31)</w:t>
            </w:r>
          </w:p>
        </w:tc>
        <w:tc>
          <w:tcPr>
            <w:tcW w:w="691" w:type="dxa"/>
            <w:shd w:val="clear" w:color="auto" w:fill="auto"/>
          </w:tcPr>
          <w:p w14:paraId="17D69B6C"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0.039</w:t>
            </w:r>
          </w:p>
          <w:p w14:paraId="1F1540F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(0.39)</w:t>
            </w:r>
          </w:p>
        </w:tc>
        <w:tc>
          <w:tcPr>
            <w:tcW w:w="691" w:type="dxa"/>
            <w:shd w:val="clear" w:color="auto" w:fill="EDEDED"/>
          </w:tcPr>
          <w:p w14:paraId="0D6B4A6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0.02</w:t>
            </w:r>
          </w:p>
          <w:p w14:paraId="6812547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(0.58)</w:t>
            </w:r>
          </w:p>
        </w:tc>
        <w:tc>
          <w:tcPr>
            <w:tcW w:w="691" w:type="dxa"/>
            <w:shd w:val="clear" w:color="auto" w:fill="auto"/>
          </w:tcPr>
          <w:p w14:paraId="223F4D8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-0.11</w:t>
            </w:r>
          </w:p>
          <w:p w14:paraId="718DBD8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(0.47)</w:t>
            </w:r>
          </w:p>
        </w:tc>
        <w:tc>
          <w:tcPr>
            <w:tcW w:w="691" w:type="dxa"/>
            <w:shd w:val="clear" w:color="auto" w:fill="EDEDED"/>
          </w:tcPr>
          <w:p w14:paraId="65ADF36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-0.08</w:t>
            </w:r>
          </w:p>
          <w:p w14:paraId="5D5FE2A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(0.38)</w:t>
            </w:r>
          </w:p>
        </w:tc>
        <w:tc>
          <w:tcPr>
            <w:tcW w:w="685" w:type="dxa"/>
            <w:shd w:val="clear" w:color="auto" w:fill="auto"/>
          </w:tcPr>
          <w:p w14:paraId="4287F76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-0.82</w:t>
            </w:r>
          </w:p>
          <w:p w14:paraId="752A8A6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(1.11)</w:t>
            </w:r>
          </w:p>
        </w:tc>
        <w:tc>
          <w:tcPr>
            <w:tcW w:w="720" w:type="dxa"/>
            <w:shd w:val="clear" w:color="auto" w:fill="EDEDED"/>
          </w:tcPr>
          <w:p w14:paraId="7C0D3BE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-2.18***</w:t>
            </w:r>
          </w:p>
          <w:p w14:paraId="22C10C7A"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(0.71)</w:t>
            </w:r>
          </w:p>
        </w:tc>
        <w:tc>
          <w:tcPr>
            <w:tcW w:w="810" w:type="dxa"/>
            <w:shd w:val="clear" w:color="auto" w:fill="auto"/>
          </w:tcPr>
          <w:p w14:paraId="6308774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-0.07</w:t>
            </w:r>
          </w:p>
          <w:p w14:paraId="56D4487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(0.54)</w:t>
            </w:r>
          </w:p>
        </w:tc>
        <w:tc>
          <w:tcPr>
            <w:tcW w:w="720" w:type="dxa"/>
            <w:shd w:val="clear" w:color="auto" w:fill="EDEDED"/>
          </w:tcPr>
          <w:p w14:paraId="28ECD22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-0.25</w:t>
            </w:r>
          </w:p>
          <w:p w14:paraId="2045E7C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(0.66)</w:t>
            </w:r>
          </w:p>
        </w:tc>
        <w:tc>
          <w:tcPr>
            <w:tcW w:w="630" w:type="dxa"/>
            <w:shd w:val="clear" w:color="auto" w:fill="auto"/>
          </w:tcPr>
          <w:p w14:paraId="34D8673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0.30</w:t>
            </w:r>
          </w:p>
          <w:p w14:paraId="6CFCD19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(0.28)</w:t>
            </w:r>
          </w:p>
        </w:tc>
        <w:tc>
          <w:tcPr>
            <w:tcW w:w="630" w:type="dxa"/>
            <w:shd w:val="clear" w:color="auto" w:fill="EDEDED"/>
          </w:tcPr>
          <w:p w14:paraId="3A009C0A"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-0.50</w:t>
            </w:r>
          </w:p>
          <w:p w14:paraId="446F08E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(0.47)</w:t>
            </w:r>
          </w:p>
        </w:tc>
        <w:tc>
          <w:tcPr>
            <w:tcW w:w="778" w:type="dxa"/>
            <w:shd w:val="clear" w:color="auto" w:fill="auto"/>
          </w:tcPr>
          <w:p w14:paraId="72B5FEA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-0.69</w:t>
            </w:r>
          </w:p>
          <w:p w14:paraId="4AF834D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(0.69)</w:t>
            </w:r>
          </w:p>
        </w:tc>
        <w:tc>
          <w:tcPr>
            <w:tcW w:w="720" w:type="dxa"/>
            <w:shd w:val="clear" w:color="auto" w:fill="EDEDED"/>
          </w:tcPr>
          <w:p w14:paraId="2F10485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-0.81</w:t>
            </w:r>
          </w:p>
          <w:p w14:paraId="1EB5085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(0.65)</w:t>
            </w:r>
          </w:p>
        </w:tc>
        <w:tc>
          <w:tcPr>
            <w:tcW w:w="691" w:type="dxa"/>
            <w:shd w:val="clear" w:color="auto" w:fill="auto"/>
          </w:tcPr>
          <w:p w14:paraId="220D519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0.06</w:t>
            </w:r>
          </w:p>
          <w:p w14:paraId="7400B85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(0.40)</w:t>
            </w:r>
          </w:p>
        </w:tc>
        <w:tc>
          <w:tcPr>
            <w:tcW w:w="601" w:type="dxa"/>
            <w:shd w:val="clear" w:color="auto" w:fill="EDEDED"/>
          </w:tcPr>
          <w:p w14:paraId="5AADE12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0.41</w:t>
            </w:r>
          </w:p>
          <w:p w14:paraId="5BA3DB3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(0.38)</w:t>
            </w:r>
          </w:p>
        </w:tc>
        <w:tc>
          <w:tcPr>
            <w:tcW w:w="691" w:type="dxa"/>
            <w:shd w:val="clear" w:color="auto" w:fill="auto"/>
          </w:tcPr>
          <w:p w14:paraId="381D36A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0.33</w:t>
            </w:r>
          </w:p>
          <w:p w14:paraId="53C6799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(0.33)</w:t>
            </w:r>
          </w:p>
        </w:tc>
        <w:tc>
          <w:tcPr>
            <w:tcW w:w="691" w:type="dxa"/>
            <w:shd w:val="clear" w:color="auto" w:fill="EDEDED"/>
          </w:tcPr>
          <w:p w14:paraId="00325B7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-0.16</w:t>
            </w:r>
          </w:p>
          <w:p w14:paraId="26EA8E2A"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(0.48)</w:t>
            </w:r>
          </w:p>
        </w:tc>
      </w:tr>
      <w:tr w:rsidR="0030333D" w14:paraId="4790CEA7" w14:textId="77777777">
        <w:trPr>
          <w:trHeight w:val="461"/>
        </w:trPr>
        <w:tc>
          <w:tcPr>
            <w:tcW w:w="987" w:type="dxa"/>
            <w:shd w:val="clear" w:color="auto" w:fill="auto"/>
          </w:tcPr>
          <w:p w14:paraId="6E106CDC" w14:textId="77777777" w:rsidR="0030333D" w:rsidRDefault="00000000">
            <w:pPr>
              <w:rPr>
                <w:rFonts w:ascii="Times New Roman" w:eastAsia="Times New Roman" w:hAnsi="Times New Roman" w:cs="Times New Roman"/>
                <w:b/>
                <w:color w:val="000000"/>
                <w:sz w:val="18"/>
                <w:szCs w:val="18"/>
              </w:rPr>
            </w:pPr>
            <w:r>
              <w:rPr>
                <w:rFonts w:ascii="Times New Roman" w:eastAsia="Times New Roman" w:hAnsi="Times New Roman" w:cs="Times New Roman"/>
                <w:sz w:val="18"/>
                <w:szCs w:val="18"/>
              </w:rPr>
              <w:t>ROE</w:t>
            </w:r>
          </w:p>
        </w:tc>
        <w:tc>
          <w:tcPr>
            <w:tcW w:w="691" w:type="dxa"/>
            <w:shd w:val="clear" w:color="auto" w:fill="EDEDED"/>
          </w:tcPr>
          <w:p w14:paraId="072D32B4"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-0.017</w:t>
            </w:r>
          </w:p>
          <w:p w14:paraId="6BFEE3C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(0.011)</w:t>
            </w:r>
          </w:p>
        </w:tc>
        <w:tc>
          <w:tcPr>
            <w:tcW w:w="691" w:type="dxa"/>
            <w:shd w:val="clear" w:color="auto" w:fill="auto"/>
          </w:tcPr>
          <w:p w14:paraId="2C743E14"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0.036*</w:t>
            </w:r>
          </w:p>
          <w:p w14:paraId="027E4C8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(0.019)</w:t>
            </w:r>
          </w:p>
        </w:tc>
        <w:tc>
          <w:tcPr>
            <w:tcW w:w="691" w:type="dxa"/>
            <w:shd w:val="clear" w:color="auto" w:fill="EDEDED"/>
          </w:tcPr>
          <w:p w14:paraId="424A808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-0.00</w:t>
            </w:r>
          </w:p>
          <w:p w14:paraId="3F32933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(0.03)</w:t>
            </w:r>
          </w:p>
        </w:tc>
        <w:tc>
          <w:tcPr>
            <w:tcW w:w="691" w:type="dxa"/>
            <w:shd w:val="clear" w:color="auto" w:fill="auto"/>
          </w:tcPr>
          <w:p w14:paraId="124593D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-0.02</w:t>
            </w:r>
          </w:p>
          <w:p w14:paraId="1245A58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(0.02)</w:t>
            </w:r>
          </w:p>
        </w:tc>
        <w:tc>
          <w:tcPr>
            <w:tcW w:w="691" w:type="dxa"/>
            <w:shd w:val="clear" w:color="auto" w:fill="EDEDED"/>
          </w:tcPr>
          <w:p w14:paraId="14EC00A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-0.01</w:t>
            </w:r>
          </w:p>
          <w:p w14:paraId="3CE149D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(0.01)</w:t>
            </w:r>
          </w:p>
        </w:tc>
        <w:tc>
          <w:tcPr>
            <w:tcW w:w="685" w:type="dxa"/>
            <w:shd w:val="clear" w:color="auto" w:fill="auto"/>
          </w:tcPr>
          <w:p w14:paraId="29DA10F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-0.08</w:t>
            </w:r>
          </w:p>
          <w:p w14:paraId="2DC9FAD2"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(0.06)</w:t>
            </w:r>
          </w:p>
        </w:tc>
        <w:tc>
          <w:tcPr>
            <w:tcW w:w="720" w:type="dxa"/>
            <w:shd w:val="clear" w:color="auto" w:fill="EDEDED"/>
          </w:tcPr>
          <w:p w14:paraId="38A8266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-0.13***</w:t>
            </w:r>
          </w:p>
          <w:p w14:paraId="25D513C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(0.03)</w:t>
            </w:r>
          </w:p>
        </w:tc>
        <w:tc>
          <w:tcPr>
            <w:tcW w:w="810" w:type="dxa"/>
            <w:shd w:val="clear" w:color="auto" w:fill="auto"/>
          </w:tcPr>
          <w:p w14:paraId="7A64B08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-0.01</w:t>
            </w:r>
          </w:p>
          <w:p w14:paraId="03D41E5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(0.02)</w:t>
            </w:r>
          </w:p>
        </w:tc>
        <w:tc>
          <w:tcPr>
            <w:tcW w:w="720" w:type="dxa"/>
            <w:shd w:val="clear" w:color="auto" w:fill="EDEDED"/>
          </w:tcPr>
          <w:p w14:paraId="7B9C51D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-0.02</w:t>
            </w:r>
          </w:p>
          <w:p w14:paraId="36FD3A7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(0.03)</w:t>
            </w:r>
          </w:p>
        </w:tc>
        <w:tc>
          <w:tcPr>
            <w:tcW w:w="630" w:type="dxa"/>
            <w:shd w:val="clear" w:color="auto" w:fill="auto"/>
          </w:tcPr>
          <w:p w14:paraId="2BB9B80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0.03**</w:t>
            </w:r>
          </w:p>
          <w:p w14:paraId="0ED5F6F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(0.01)</w:t>
            </w:r>
          </w:p>
        </w:tc>
        <w:tc>
          <w:tcPr>
            <w:tcW w:w="630" w:type="dxa"/>
            <w:shd w:val="clear" w:color="auto" w:fill="EDEDED"/>
          </w:tcPr>
          <w:p w14:paraId="416FC5A2"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-0.03</w:t>
            </w:r>
          </w:p>
          <w:p w14:paraId="77FDAD4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(0.02)</w:t>
            </w:r>
          </w:p>
        </w:tc>
        <w:tc>
          <w:tcPr>
            <w:tcW w:w="778" w:type="dxa"/>
            <w:shd w:val="clear" w:color="auto" w:fill="auto"/>
          </w:tcPr>
          <w:p w14:paraId="59ED0C9A"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-0.07***</w:t>
            </w:r>
          </w:p>
          <w:p w14:paraId="7609565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(0.03)</w:t>
            </w:r>
          </w:p>
        </w:tc>
        <w:tc>
          <w:tcPr>
            <w:tcW w:w="720" w:type="dxa"/>
            <w:shd w:val="clear" w:color="auto" w:fill="EDEDED"/>
          </w:tcPr>
          <w:p w14:paraId="5F435FF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-0.03</w:t>
            </w:r>
          </w:p>
          <w:p w14:paraId="36C55E7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(0.03)</w:t>
            </w:r>
          </w:p>
        </w:tc>
        <w:tc>
          <w:tcPr>
            <w:tcW w:w="691" w:type="dxa"/>
            <w:shd w:val="clear" w:color="auto" w:fill="auto"/>
          </w:tcPr>
          <w:p w14:paraId="4CC6165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-0.00</w:t>
            </w:r>
          </w:p>
          <w:p w14:paraId="6653949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(0.02)</w:t>
            </w:r>
          </w:p>
        </w:tc>
        <w:tc>
          <w:tcPr>
            <w:tcW w:w="601" w:type="dxa"/>
            <w:shd w:val="clear" w:color="auto" w:fill="EDEDED"/>
          </w:tcPr>
          <w:p w14:paraId="2F7768C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0.01</w:t>
            </w:r>
          </w:p>
          <w:p w14:paraId="12FB559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(0.02)</w:t>
            </w:r>
          </w:p>
        </w:tc>
        <w:tc>
          <w:tcPr>
            <w:tcW w:w="691" w:type="dxa"/>
            <w:shd w:val="clear" w:color="auto" w:fill="auto"/>
          </w:tcPr>
          <w:p w14:paraId="4F0E42CA"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0.04**</w:t>
            </w:r>
          </w:p>
          <w:p w14:paraId="7125122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(0.01)</w:t>
            </w:r>
          </w:p>
        </w:tc>
        <w:tc>
          <w:tcPr>
            <w:tcW w:w="691" w:type="dxa"/>
            <w:shd w:val="clear" w:color="auto" w:fill="EDEDED"/>
          </w:tcPr>
          <w:p w14:paraId="36373D8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-0.01</w:t>
            </w:r>
          </w:p>
          <w:p w14:paraId="00408DE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(0.02)</w:t>
            </w:r>
          </w:p>
        </w:tc>
      </w:tr>
      <w:tr w:rsidR="0030333D" w14:paraId="4A3D6D19" w14:textId="77777777">
        <w:trPr>
          <w:trHeight w:val="461"/>
        </w:trPr>
        <w:tc>
          <w:tcPr>
            <w:tcW w:w="987" w:type="dxa"/>
            <w:shd w:val="clear" w:color="auto" w:fill="auto"/>
          </w:tcPr>
          <w:p w14:paraId="1954C08D" w14:textId="77777777" w:rsidR="0030333D" w:rsidRDefault="00000000">
            <w:pPr>
              <w:rPr>
                <w:rFonts w:ascii="Times New Roman" w:eastAsia="Times New Roman" w:hAnsi="Times New Roman" w:cs="Times New Roman"/>
                <w:b/>
                <w:color w:val="000000"/>
                <w:sz w:val="18"/>
                <w:szCs w:val="18"/>
              </w:rPr>
            </w:pPr>
            <w:r>
              <w:rPr>
                <w:rFonts w:ascii="Times New Roman" w:eastAsia="Times New Roman" w:hAnsi="Times New Roman" w:cs="Times New Roman"/>
                <w:sz w:val="18"/>
                <w:szCs w:val="18"/>
              </w:rPr>
              <w:t>ROIC</w:t>
            </w:r>
          </w:p>
        </w:tc>
        <w:tc>
          <w:tcPr>
            <w:tcW w:w="691" w:type="dxa"/>
            <w:shd w:val="clear" w:color="auto" w:fill="EDEDED"/>
          </w:tcPr>
          <w:p w14:paraId="636BA7F4"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0.14</w:t>
            </w:r>
          </w:p>
          <w:p w14:paraId="3417277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(0.18)</w:t>
            </w:r>
          </w:p>
        </w:tc>
        <w:tc>
          <w:tcPr>
            <w:tcW w:w="691" w:type="dxa"/>
            <w:shd w:val="clear" w:color="auto" w:fill="auto"/>
          </w:tcPr>
          <w:p w14:paraId="7751C250"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-0.22</w:t>
            </w:r>
          </w:p>
          <w:p w14:paraId="16987F36"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(0.26)</w:t>
            </w:r>
          </w:p>
        </w:tc>
        <w:tc>
          <w:tcPr>
            <w:tcW w:w="691" w:type="dxa"/>
            <w:shd w:val="clear" w:color="auto" w:fill="EDEDED"/>
          </w:tcPr>
          <w:p w14:paraId="7354EFB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-0.14</w:t>
            </w:r>
          </w:p>
          <w:p w14:paraId="1C7E1D8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(0.42)</w:t>
            </w:r>
          </w:p>
        </w:tc>
        <w:tc>
          <w:tcPr>
            <w:tcW w:w="691" w:type="dxa"/>
            <w:shd w:val="clear" w:color="auto" w:fill="auto"/>
          </w:tcPr>
          <w:p w14:paraId="2D404F5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-0.02</w:t>
            </w:r>
          </w:p>
          <w:p w14:paraId="172F868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(0.30)</w:t>
            </w:r>
          </w:p>
        </w:tc>
        <w:tc>
          <w:tcPr>
            <w:tcW w:w="691" w:type="dxa"/>
            <w:shd w:val="clear" w:color="auto" w:fill="EDEDED"/>
          </w:tcPr>
          <w:p w14:paraId="1548DA6A"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-0.06</w:t>
            </w:r>
          </w:p>
          <w:p w14:paraId="26EFC12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(0.22)</w:t>
            </w:r>
          </w:p>
        </w:tc>
        <w:tc>
          <w:tcPr>
            <w:tcW w:w="685" w:type="dxa"/>
            <w:shd w:val="clear" w:color="auto" w:fill="auto"/>
          </w:tcPr>
          <w:p w14:paraId="56D24BF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0.67</w:t>
            </w:r>
          </w:p>
          <w:p w14:paraId="5CB9F9A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(0.81)</w:t>
            </w:r>
          </w:p>
        </w:tc>
        <w:tc>
          <w:tcPr>
            <w:tcW w:w="720" w:type="dxa"/>
            <w:shd w:val="clear" w:color="auto" w:fill="EDEDED"/>
          </w:tcPr>
          <w:p w14:paraId="65AC811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1.42***</w:t>
            </w:r>
          </w:p>
          <w:p w14:paraId="25E068D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(0.46)</w:t>
            </w:r>
          </w:p>
        </w:tc>
        <w:tc>
          <w:tcPr>
            <w:tcW w:w="810" w:type="dxa"/>
            <w:shd w:val="clear" w:color="auto" w:fill="auto"/>
          </w:tcPr>
          <w:p w14:paraId="2D2360D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-0.09</w:t>
            </w:r>
          </w:p>
          <w:p w14:paraId="414601C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(0.34)</w:t>
            </w:r>
          </w:p>
        </w:tc>
        <w:tc>
          <w:tcPr>
            <w:tcW w:w="720" w:type="dxa"/>
            <w:shd w:val="clear" w:color="auto" w:fill="EDEDED"/>
          </w:tcPr>
          <w:p w14:paraId="35BFE11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0.09</w:t>
            </w:r>
          </w:p>
          <w:p w14:paraId="1D2A7A4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(0.44)</w:t>
            </w:r>
          </w:p>
        </w:tc>
        <w:tc>
          <w:tcPr>
            <w:tcW w:w="630" w:type="dxa"/>
            <w:shd w:val="clear" w:color="auto" w:fill="auto"/>
          </w:tcPr>
          <w:p w14:paraId="01A2EB7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-0.33**</w:t>
            </w:r>
          </w:p>
          <w:p w14:paraId="622FE1A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(0.16)</w:t>
            </w:r>
          </w:p>
        </w:tc>
        <w:tc>
          <w:tcPr>
            <w:tcW w:w="630" w:type="dxa"/>
            <w:shd w:val="clear" w:color="auto" w:fill="EDEDED"/>
          </w:tcPr>
          <w:p w14:paraId="61F006E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0.28</w:t>
            </w:r>
          </w:p>
          <w:p w14:paraId="5045A54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(0.33)</w:t>
            </w:r>
          </w:p>
        </w:tc>
        <w:tc>
          <w:tcPr>
            <w:tcW w:w="778" w:type="dxa"/>
            <w:shd w:val="clear" w:color="auto" w:fill="auto"/>
          </w:tcPr>
          <w:p w14:paraId="1AE395E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0.34</w:t>
            </w:r>
          </w:p>
          <w:p w14:paraId="27FB70DA"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(0.45)</w:t>
            </w:r>
          </w:p>
        </w:tc>
        <w:tc>
          <w:tcPr>
            <w:tcW w:w="720" w:type="dxa"/>
            <w:shd w:val="clear" w:color="auto" w:fill="EDEDED"/>
          </w:tcPr>
          <w:p w14:paraId="7425272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0.23</w:t>
            </w:r>
          </w:p>
          <w:p w14:paraId="505CA3D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(0.41)</w:t>
            </w:r>
          </w:p>
        </w:tc>
        <w:tc>
          <w:tcPr>
            <w:tcW w:w="691" w:type="dxa"/>
            <w:shd w:val="clear" w:color="auto" w:fill="auto"/>
          </w:tcPr>
          <w:p w14:paraId="0D07503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-0.17</w:t>
            </w:r>
          </w:p>
          <w:p w14:paraId="6C9E3722"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(0.28)</w:t>
            </w:r>
          </w:p>
        </w:tc>
        <w:tc>
          <w:tcPr>
            <w:tcW w:w="601" w:type="dxa"/>
            <w:shd w:val="clear" w:color="auto" w:fill="EDEDED"/>
          </w:tcPr>
          <w:p w14:paraId="0CB600A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-0.44</w:t>
            </w:r>
          </w:p>
          <w:p w14:paraId="3D44A0E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(0.28)</w:t>
            </w:r>
          </w:p>
        </w:tc>
        <w:tc>
          <w:tcPr>
            <w:tcW w:w="691" w:type="dxa"/>
            <w:shd w:val="clear" w:color="auto" w:fill="auto"/>
          </w:tcPr>
          <w:p w14:paraId="0CDE60C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-0.32</w:t>
            </w:r>
          </w:p>
          <w:p w14:paraId="4A34042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(0.21)</w:t>
            </w:r>
          </w:p>
        </w:tc>
        <w:tc>
          <w:tcPr>
            <w:tcW w:w="691" w:type="dxa"/>
            <w:shd w:val="clear" w:color="auto" w:fill="EDEDED"/>
          </w:tcPr>
          <w:p w14:paraId="4890B6D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0.09</w:t>
            </w:r>
          </w:p>
          <w:p w14:paraId="72C3526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(0.29)</w:t>
            </w:r>
          </w:p>
        </w:tc>
      </w:tr>
      <w:tr w:rsidR="0030333D" w14:paraId="35B7904C" w14:textId="77777777">
        <w:trPr>
          <w:trHeight w:val="461"/>
        </w:trPr>
        <w:tc>
          <w:tcPr>
            <w:tcW w:w="987" w:type="dxa"/>
            <w:shd w:val="clear" w:color="auto" w:fill="auto"/>
          </w:tcPr>
          <w:p w14:paraId="318F21BD" w14:textId="77777777" w:rsidR="0030333D" w:rsidRDefault="00000000">
            <w:pPr>
              <w:rPr>
                <w:rFonts w:ascii="Times New Roman" w:eastAsia="Times New Roman" w:hAnsi="Times New Roman" w:cs="Times New Roman"/>
                <w:b/>
                <w:color w:val="000000"/>
                <w:sz w:val="18"/>
                <w:szCs w:val="18"/>
              </w:rPr>
            </w:pPr>
            <w:r>
              <w:rPr>
                <w:rFonts w:ascii="Times New Roman" w:eastAsia="Times New Roman" w:hAnsi="Times New Roman" w:cs="Times New Roman"/>
                <w:sz w:val="18"/>
                <w:szCs w:val="18"/>
              </w:rPr>
              <w:t>S_P Gold</w:t>
            </w:r>
          </w:p>
        </w:tc>
        <w:tc>
          <w:tcPr>
            <w:tcW w:w="691" w:type="dxa"/>
            <w:shd w:val="clear" w:color="auto" w:fill="EDEDED"/>
          </w:tcPr>
          <w:p w14:paraId="5B0E1857"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0.99</w:t>
            </w:r>
          </w:p>
          <w:p w14:paraId="46C8A2CA"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(1.06)</w:t>
            </w:r>
          </w:p>
        </w:tc>
        <w:tc>
          <w:tcPr>
            <w:tcW w:w="691" w:type="dxa"/>
            <w:shd w:val="clear" w:color="auto" w:fill="auto"/>
          </w:tcPr>
          <w:p w14:paraId="1A19E96A"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-1.21</w:t>
            </w:r>
          </w:p>
          <w:p w14:paraId="6F1C4CAA"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(1.87)</w:t>
            </w:r>
          </w:p>
        </w:tc>
        <w:tc>
          <w:tcPr>
            <w:tcW w:w="691" w:type="dxa"/>
            <w:shd w:val="clear" w:color="auto" w:fill="EDEDED"/>
          </w:tcPr>
          <w:p w14:paraId="2BB608B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3.22*</w:t>
            </w:r>
          </w:p>
          <w:p w14:paraId="0178871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(1.76)</w:t>
            </w:r>
          </w:p>
        </w:tc>
        <w:tc>
          <w:tcPr>
            <w:tcW w:w="691" w:type="dxa"/>
            <w:shd w:val="clear" w:color="auto" w:fill="auto"/>
          </w:tcPr>
          <w:p w14:paraId="07E2F21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0.81</w:t>
            </w:r>
          </w:p>
          <w:p w14:paraId="286F394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(1.60)</w:t>
            </w:r>
          </w:p>
        </w:tc>
        <w:tc>
          <w:tcPr>
            <w:tcW w:w="691" w:type="dxa"/>
            <w:shd w:val="clear" w:color="auto" w:fill="EDEDED"/>
          </w:tcPr>
          <w:p w14:paraId="4DF5FA2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1.21</w:t>
            </w:r>
          </w:p>
          <w:p w14:paraId="70899A3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(1.17)</w:t>
            </w:r>
          </w:p>
        </w:tc>
        <w:tc>
          <w:tcPr>
            <w:tcW w:w="685" w:type="dxa"/>
            <w:shd w:val="clear" w:color="auto" w:fill="auto"/>
          </w:tcPr>
          <w:p w14:paraId="69ED35F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0.09</w:t>
            </w:r>
          </w:p>
          <w:p w14:paraId="4C3D5C9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(3.42)</w:t>
            </w:r>
          </w:p>
        </w:tc>
        <w:tc>
          <w:tcPr>
            <w:tcW w:w="720" w:type="dxa"/>
            <w:shd w:val="clear" w:color="auto" w:fill="EDEDED"/>
          </w:tcPr>
          <w:p w14:paraId="6914F3DA"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1.77</w:t>
            </w:r>
          </w:p>
          <w:p w14:paraId="63DBCF7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(3.22)</w:t>
            </w:r>
          </w:p>
        </w:tc>
        <w:tc>
          <w:tcPr>
            <w:tcW w:w="810" w:type="dxa"/>
            <w:shd w:val="clear" w:color="auto" w:fill="auto"/>
          </w:tcPr>
          <w:p w14:paraId="02B380F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-0.30</w:t>
            </w:r>
          </w:p>
          <w:p w14:paraId="3B686BE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(1.71)</w:t>
            </w:r>
          </w:p>
        </w:tc>
        <w:tc>
          <w:tcPr>
            <w:tcW w:w="720" w:type="dxa"/>
            <w:shd w:val="clear" w:color="auto" w:fill="EDEDED"/>
          </w:tcPr>
          <w:p w14:paraId="3000A91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0.08</w:t>
            </w:r>
          </w:p>
          <w:p w14:paraId="24644B06"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(1.75)</w:t>
            </w:r>
          </w:p>
        </w:tc>
        <w:tc>
          <w:tcPr>
            <w:tcW w:w="630" w:type="dxa"/>
            <w:shd w:val="clear" w:color="auto" w:fill="auto"/>
          </w:tcPr>
          <w:p w14:paraId="369EF35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0.00</w:t>
            </w:r>
          </w:p>
          <w:p w14:paraId="0AE9C8A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(1.03)</w:t>
            </w:r>
          </w:p>
        </w:tc>
        <w:tc>
          <w:tcPr>
            <w:tcW w:w="630" w:type="dxa"/>
            <w:shd w:val="clear" w:color="auto" w:fill="EDEDED"/>
          </w:tcPr>
          <w:p w14:paraId="45C3F1D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1.23</w:t>
            </w:r>
          </w:p>
          <w:p w14:paraId="09223F12"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(1.65)</w:t>
            </w:r>
          </w:p>
        </w:tc>
        <w:tc>
          <w:tcPr>
            <w:tcW w:w="778" w:type="dxa"/>
            <w:shd w:val="clear" w:color="auto" w:fill="auto"/>
          </w:tcPr>
          <w:p w14:paraId="01DA473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-2.00</w:t>
            </w:r>
          </w:p>
          <w:p w14:paraId="2DEAF33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(2.92)</w:t>
            </w:r>
          </w:p>
        </w:tc>
        <w:tc>
          <w:tcPr>
            <w:tcW w:w="720" w:type="dxa"/>
            <w:shd w:val="clear" w:color="auto" w:fill="EDEDED"/>
          </w:tcPr>
          <w:p w14:paraId="2981E7A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-0.66</w:t>
            </w:r>
          </w:p>
          <w:p w14:paraId="77A05AD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(1.95)</w:t>
            </w:r>
          </w:p>
        </w:tc>
        <w:tc>
          <w:tcPr>
            <w:tcW w:w="691" w:type="dxa"/>
            <w:shd w:val="clear" w:color="auto" w:fill="auto"/>
          </w:tcPr>
          <w:p w14:paraId="5DC8CE67" w14:textId="77777777" w:rsidR="0030333D" w:rsidRDefault="0030333D">
            <w:pPr>
              <w:rPr>
                <w:rFonts w:ascii="Arial Narrow" w:eastAsia="Arial Narrow" w:hAnsi="Arial Narrow" w:cs="Arial Narrow"/>
                <w:color w:val="000000"/>
                <w:sz w:val="16"/>
                <w:szCs w:val="16"/>
              </w:rPr>
            </w:pPr>
          </w:p>
        </w:tc>
        <w:tc>
          <w:tcPr>
            <w:tcW w:w="601" w:type="dxa"/>
            <w:shd w:val="clear" w:color="auto" w:fill="EDEDED"/>
          </w:tcPr>
          <w:p w14:paraId="7BA3348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1.01</w:t>
            </w:r>
          </w:p>
          <w:p w14:paraId="3F2353E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(1.58)</w:t>
            </w:r>
          </w:p>
        </w:tc>
        <w:tc>
          <w:tcPr>
            <w:tcW w:w="691" w:type="dxa"/>
            <w:shd w:val="clear" w:color="auto" w:fill="auto"/>
          </w:tcPr>
          <w:p w14:paraId="49574AC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-0.62</w:t>
            </w:r>
          </w:p>
          <w:p w14:paraId="34DD2138" w14:textId="77777777" w:rsidR="0030333D" w:rsidRDefault="00000000">
            <w:pPr>
              <w:ind w:right="-45"/>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(1.20)</w:t>
            </w:r>
          </w:p>
        </w:tc>
        <w:tc>
          <w:tcPr>
            <w:tcW w:w="691" w:type="dxa"/>
            <w:shd w:val="clear" w:color="auto" w:fill="EDEDED"/>
          </w:tcPr>
          <w:p w14:paraId="2250222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-1.21</w:t>
            </w:r>
          </w:p>
          <w:p w14:paraId="773B36F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(1.63)</w:t>
            </w:r>
          </w:p>
        </w:tc>
      </w:tr>
      <w:tr w:rsidR="0030333D" w14:paraId="13C705C7" w14:textId="77777777">
        <w:trPr>
          <w:trHeight w:val="461"/>
        </w:trPr>
        <w:tc>
          <w:tcPr>
            <w:tcW w:w="987" w:type="dxa"/>
            <w:shd w:val="clear" w:color="auto" w:fill="auto"/>
          </w:tcPr>
          <w:p w14:paraId="5E2777DE" w14:textId="77777777" w:rsidR="0030333D" w:rsidRDefault="00000000">
            <w:pPr>
              <w:rPr>
                <w:rFonts w:ascii="Times New Roman" w:eastAsia="Times New Roman" w:hAnsi="Times New Roman" w:cs="Times New Roman"/>
                <w:b/>
                <w:color w:val="000000"/>
                <w:sz w:val="18"/>
                <w:szCs w:val="18"/>
              </w:rPr>
            </w:pPr>
            <w:r>
              <w:rPr>
                <w:rFonts w:ascii="Times New Roman" w:eastAsia="Times New Roman" w:hAnsi="Times New Roman" w:cs="Times New Roman"/>
                <w:sz w:val="18"/>
                <w:szCs w:val="18"/>
              </w:rPr>
              <w:t>S_P Silver</w:t>
            </w:r>
          </w:p>
        </w:tc>
        <w:tc>
          <w:tcPr>
            <w:tcW w:w="691" w:type="dxa"/>
            <w:shd w:val="clear" w:color="auto" w:fill="EDEDED"/>
          </w:tcPr>
          <w:p w14:paraId="2B2E6BB2" w14:textId="77777777" w:rsidR="0030333D" w:rsidRDefault="0030333D">
            <w:pPr>
              <w:rPr>
                <w:rFonts w:ascii="Arial Narrow" w:eastAsia="Arial Narrow" w:hAnsi="Arial Narrow" w:cs="Arial Narrow"/>
                <w:color w:val="000000"/>
                <w:sz w:val="16"/>
                <w:szCs w:val="16"/>
              </w:rPr>
            </w:pPr>
          </w:p>
        </w:tc>
        <w:tc>
          <w:tcPr>
            <w:tcW w:w="691" w:type="dxa"/>
            <w:shd w:val="clear" w:color="auto" w:fill="auto"/>
          </w:tcPr>
          <w:p w14:paraId="2EE662A8" w14:textId="77777777" w:rsidR="0030333D" w:rsidRDefault="0030333D">
            <w:pPr>
              <w:rPr>
                <w:rFonts w:ascii="Arial Narrow" w:eastAsia="Arial Narrow" w:hAnsi="Arial Narrow" w:cs="Arial Narrow"/>
                <w:color w:val="000000"/>
                <w:sz w:val="16"/>
                <w:szCs w:val="16"/>
              </w:rPr>
            </w:pPr>
          </w:p>
        </w:tc>
        <w:tc>
          <w:tcPr>
            <w:tcW w:w="691" w:type="dxa"/>
            <w:shd w:val="clear" w:color="auto" w:fill="EDEDED"/>
          </w:tcPr>
          <w:p w14:paraId="57639C73" w14:textId="77777777" w:rsidR="0030333D" w:rsidRDefault="0030333D">
            <w:pPr>
              <w:rPr>
                <w:rFonts w:ascii="Arial Narrow" w:eastAsia="Arial Narrow" w:hAnsi="Arial Narrow" w:cs="Arial Narrow"/>
                <w:color w:val="000000"/>
                <w:sz w:val="16"/>
                <w:szCs w:val="16"/>
              </w:rPr>
            </w:pPr>
          </w:p>
        </w:tc>
        <w:tc>
          <w:tcPr>
            <w:tcW w:w="691" w:type="dxa"/>
            <w:shd w:val="clear" w:color="auto" w:fill="auto"/>
          </w:tcPr>
          <w:p w14:paraId="2375C451" w14:textId="77777777" w:rsidR="0030333D" w:rsidRDefault="0030333D">
            <w:pPr>
              <w:rPr>
                <w:rFonts w:ascii="Arial Narrow" w:eastAsia="Arial Narrow" w:hAnsi="Arial Narrow" w:cs="Arial Narrow"/>
                <w:color w:val="000000"/>
                <w:sz w:val="16"/>
                <w:szCs w:val="16"/>
              </w:rPr>
            </w:pPr>
          </w:p>
        </w:tc>
        <w:tc>
          <w:tcPr>
            <w:tcW w:w="691" w:type="dxa"/>
            <w:shd w:val="clear" w:color="auto" w:fill="EDEDED"/>
          </w:tcPr>
          <w:p w14:paraId="77F91769" w14:textId="77777777" w:rsidR="0030333D" w:rsidRDefault="0030333D">
            <w:pPr>
              <w:rPr>
                <w:rFonts w:ascii="Arial Narrow" w:eastAsia="Arial Narrow" w:hAnsi="Arial Narrow" w:cs="Arial Narrow"/>
                <w:color w:val="000000"/>
                <w:sz w:val="16"/>
                <w:szCs w:val="16"/>
              </w:rPr>
            </w:pPr>
          </w:p>
        </w:tc>
        <w:tc>
          <w:tcPr>
            <w:tcW w:w="685" w:type="dxa"/>
            <w:shd w:val="clear" w:color="auto" w:fill="auto"/>
          </w:tcPr>
          <w:p w14:paraId="2A041BFE" w14:textId="77777777" w:rsidR="0030333D" w:rsidRDefault="0030333D">
            <w:pPr>
              <w:rPr>
                <w:rFonts w:ascii="Arial Narrow" w:eastAsia="Arial Narrow" w:hAnsi="Arial Narrow" w:cs="Arial Narrow"/>
                <w:color w:val="000000"/>
                <w:sz w:val="16"/>
                <w:szCs w:val="16"/>
              </w:rPr>
            </w:pPr>
          </w:p>
        </w:tc>
        <w:tc>
          <w:tcPr>
            <w:tcW w:w="720" w:type="dxa"/>
            <w:shd w:val="clear" w:color="auto" w:fill="EDEDED"/>
          </w:tcPr>
          <w:p w14:paraId="7AB2BB0F" w14:textId="77777777" w:rsidR="0030333D" w:rsidRDefault="0030333D">
            <w:pPr>
              <w:rPr>
                <w:rFonts w:ascii="Arial Narrow" w:eastAsia="Arial Narrow" w:hAnsi="Arial Narrow" w:cs="Arial Narrow"/>
                <w:color w:val="000000"/>
                <w:sz w:val="16"/>
                <w:szCs w:val="16"/>
              </w:rPr>
            </w:pPr>
          </w:p>
        </w:tc>
        <w:tc>
          <w:tcPr>
            <w:tcW w:w="810" w:type="dxa"/>
            <w:shd w:val="clear" w:color="auto" w:fill="auto"/>
          </w:tcPr>
          <w:p w14:paraId="35BF1BD8" w14:textId="77777777" w:rsidR="0030333D" w:rsidRDefault="0030333D">
            <w:pPr>
              <w:rPr>
                <w:rFonts w:ascii="Arial Narrow" w:eastAsia="Arial Narrow" w:hAnsi="Arial Narrow" w:cs="Arial Narrow"/>
                <w:color w:val="000000"/>
                <w:sz w:val="16"/>
                <w:szCs w:val="16"/>
              </w:rPr>
            </w:pPr>
          </w:p>
        </w:tc>
        <w:tc>
          <w:tcPr>
            <w:tcW w:w="720" w:type="dxa"/>
            <w:shd w:val="clear" w:color="auto" w:fill="EDEDED"/>
          </w:tcPr>
          <w:p w14:paraId="7F9C0ECC" w14:textId="77777777" w:rsidR="0030333D" w:rsidRDefault="0030333D">
            <w:pPr>
              <w:rPr>
                <w:rFonts w:ascii="Arial Narrow" w:eastAsia="Arial Narrow" w:hAnsi="Arial Narrow" w:cs="Arial Narrow"/>
                <w:color w:val="000000"/>
                <w:sz w:val="16"/>
                <w:szCs w:val="16"/>
              </w:rPr>
            </w:pPr>
          </w:p>
        </w:tc>
        <w:tc>
          <w:tcPr>
            <w:tcW w:w="630" w:type="dxa"/>
            <w:shd w:val="clear" w:color="auto" w:fill="auto"/>
          </w:tcPr>
          <w:p w14:paraId="20F0A671" w14:textId="77777777" w:rsidR="0030333D" w:rsidRDefault="0030333D">
            <w:pPr>
              <w:rPr>
                <w:rFonts w:ascii="Arial Narrow" w:eastAsia="Arial Narrow" w:hAnsi="Arial Narrow" w:cs="Arial Narrow"/>
                <w:color w:val="000000"/>
                <w:sz w:val="16"/>
                <w:szCs w:val="16"/>
              </w:rPr>
            </w:pPr>
          </w:p>
        </w:tc>
        <w:tc>
          <w:tcPr>
            <w:tcW w:w="630" w:type="dxa"/>
            <w:shd w:val="clear" w:color="auto" w:fill="EDEDED"/>
          </w:tcPr>
          <w:p w14:paraId="4B2DFA1E" w14:textId="77777777" w:rsidR="0030333D" w:rsidRDefault="0030333D">
            <w:pPr>
              <w:rPr>
                <w:rFonts w:ascii="Arial Narrow" w:eastAsia="Arial Narrow" w:hAnsi="Arial Narrow" w:cs="Arial Narrow"/>
                <w:color w:val="000000"/>
                <w:sz w:val="16"/>
                <w:szCs w:val="16"/>
              </w:rPr>
            </w:pPr>
          </w:p>
        </w:tc>
        <w:tc>
          <w:tcPr>
            <w:tcW w:w="778" w:type="dxa"/>
            <w:shd w:val="clear" w:color="auto" w:fill="auto"/>
          </w:tcPr>
          <w:p w14:paraId="3DE12C29" w14:textId="77777777" w:rsidR="0030333D" w:rsidRDefault="0030333D">
            <w:pPr>
              <w:rPr>
                <w:rFonts w:ascii="Arial Narrow" w:eastAsia="Arial Narrow" w:hAnsi="Arial Narrow" w:cs="Arial Narrow"/>
                <w:color w:val="000000"/>
                <w:sz w:val="16"/>
                <w:szCs w:val="16"/>
              </w:rPr>
            </w:pPr>
          </w:p>
        </w:tc>
        <w:tc>
          <w:tcPr>
            <w:tcW w:w="720" w:type="dxa"/>
            <w:shd w:val="clear" w:color="auto" w:fill="EDEDED"/>
          </w:tcPr>
          <w:p w14:paraId="026803E1" w14:textId="77777777" w:rsidR="0030333D" w:rsidRDefault="0030333D">
            <w:pPr>
              <w:rPr>
                <w:rFonts w:ascii="Arial Narrow" w:eastAsia="Arial Narrow" w:hAnsi="Arial Narrow" w:cs="Arial Narrow"/>
                <w:color w:val="000000"/>
                <w:sz w:val="16"/>
                <w:szCs w:val="16"/>
              </w:rPr>
            </w:pPr>
          </w:p>
        </w:tc>
        <w:tc>
          <w:tcPr>
            <w:tcW w:w="691" w:type="dxa"/>
            <w:shd w:val="clear" w:color="auto" w:fill="auto"/>
          </w:tcPr>
          <w:p w14:paraId="6B69803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0.57</w:t>
            </w:r>
          </w:p>
          <w:p w14:paraId="4967AD2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(1.27)</w:t>
            </w:r>
          </w:p>
        </w:tc>
        <w:tc>
          <w:tcPr>
            <w:tcW w:w="601" w:type="dxa"/>
            <w:shd w:val="clear" w:color="auto" w:fill="EDEDED"/>
          </w:tcPr>
          <w:p w14:paraId="296A5104" w14:textId="77777777" w:rsidR="0030333D" w:rsidRDefault="0030333D">
            <w:pPr>
              <w:rPr>
                <w:rFonts w:ascii="Arial Narrow" w:eastAsia="Arial Narrow" w:hAnsi="Arial Narrow" w:cs="Arial Narrow"/>
                <w:color w:val="000000"/>
                <w:sz w:val="16"/>
                <w:szCs w:val="16"/>
              </w:rPr>
            </w:pPr>
          </w:p>
        </w:tc>
        <w:tc>
          <w:tcPr>
            <w:tcW w:w="691" w:type="dxa"/>
            <w:shd w:val="clear" w:color="auto" w:fill="auto"/>
          </w:tcPr>
          <w:p w14:paraId="6EB2C17E" w14:textId="77777777" w:rsidR="0030333D" w:rsidRDefault="0030333D">
            <w:pPr>
              <w:rPr>
                <w:rFonts w:ascii="Arial Narrow" w:eastAsia="Arial Narrow" w:hAnsi="Arial Narrow" w:cs="Arial Narrow"/>
                <w:color w:val="000000"/>
                <w:sz w:val="16"/>
                <w:szCs w:val="16"/>
              </w:rPr>
            </w:pPr>
          </w:p>
        </w:tc>
        <w:tc>
          <w:tcPr>
            <w:tcW w:w="691" w:type="dxa"/>
            <w:shd w:val="clear" w:color="auto" w:fill="EDEDED"/>
          </w:tcPr>
          <w:p w14:paraId="5AB60412" w14:textId="77777777" w:rsidR="0030333D" w:rsidRDefault="0030333D">
            <w:pPr>
              <w:rPr>
                <w:rFonts w:ascii="Arial Narrow" w:eastAsia="Arial Narrow" w:hAnsi="Arial Narrow" w:cs="Arial Narrow"/>
                <w:color w:val="000000"/>
                <w:sz w:val="16"/>
                <w:szCs w:val="16"/>
              </w:rPr>
            </w:pPr>
          </w:p>
        </w:tc>
      </w:tr>
      <w:tr w:rsidR="0030333D" w14:paraId="25B826CC" w14:textId="77777777">
        <w:trPr>
          <w:trHeight w:val="461"/>
        </w:trPr>
        <w:tc>
          <w:tcPr>
            <w:tcW w:w="987" w:type="dxa"/>
            <w:shd w:val="clear" w:color="auto" w:fill="auto"/>
          </w:tcPr>
          <w:p w14:paraId="55355199" w14:textId="77777777" w:rsidR="0030333D" w:rsidRDefault="00000000">
            <w:pPr>
              <w:rPr>
                <w:rFonts w:ascii="Times New Roman" w:eastAsia="Times New Roman" w:hAnsi="Times New Roman" w:cs="Times New Roman"/>
                <w:b/>
                <w:color w:val="000000"/>
                <w:sz w:val="18"/>
                <w:szCs w:val="18"/>
              </w:rPr>
            </w:pPr>
            <w:r>
              <w:rPr>
                <w:rFonts w:ascii="Times New Roman" w:eastAsia="Times New Roman" w:hAnsi="Times New Roman" w:cs="Times New Roman"/>
                <w:sz w:val="18"/>
                <w:szCs w:val="18"/>
              </w:rPr>
              <w:t>S_P Bronze</w:t>
            </w:r>
          </w:p>
        </w:tc>
        <w:tc>
          <w:tcPr>
            <w:tcW w:w="691" w:type="dxa"/>
            <w:shd w:val="clear" w:color="auto" w:fill="EDEDED"/>
          </w:tcPr>
          <w:p w14:paraId="79883E29"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0.11</w:t>
            </w:r>
          </w:p>
          <w:p w14:paraId="7AC5941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(0.84)</w:t>
            </w:r>
          </w:p>
        </w:tc>
        <w:tc>
          <w:tcPr>
            <w:tcW w:w="691" w:type="dxa"/>
            <w:shd w:val="clear" w:color="auto" w:fill="auto"/>
          </w:tcPr>
          <w:p w14:paraId="08CF3776"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-0.70</w:t>
            </w:r>
          </w:p>
          <w:p w14:paraId="108F5C26"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(1.74)</w:t>
            </w:r>
          </w:p>
        </w:tc>
        <w:tc>
          <w:tcPr>
            <w:tcW w:w="691" w:type="dxa"/>
            <w:shd w:val="clear" w:color="auto" w:fill="EDEDED"/>
          </w:tcPr>
          <w:p w14:paraId="66CECCB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3.34**</w:t>
            </w:r>
          </w:p>
          <w:p w14:paraId="269030B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(1.67)</w:t>
            </w:r>
          </w:p>
        </w:tc>
        <w:tc>
          <w:tcPr>
            <w:tcW w:w="691" w:type="dxa"/>
            <w:shd w:val="clear" w:color="auto" w:fill="auto"/>
          </w:tcPr>
          <w:p w14:paraId="04A9CB1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0.35</w:t>
            </w:r>
          </w:p>
          <w:p w14:paraId="00E075A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(1.33)</w:t>
            </w:r>
          </w:p>
        </w:tc>
        <w:tc>
          <w:tcPr>
            <w:tcW w:w="691" w:type="dxa"/>
            <w:shd w:val="clear" w:color="auto" w:fill="EDEDED"/>
          </w:tcPr>
          <w:p w14:paraId="3E0DD0F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0.00</w:t>
            </w:r>
          </w:p>
          <w:p w14:paraId="3316A35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(0.99)</w:t>
            </w:r>
          </w:p>
        </w:tc>
        <w:tc>
          <w:tcPr>
            <w:tcW w:w="685" w:type="dxa"/>
            <w:shd w:val="clear" w:color="auto" w:fill="auto"/>
          </w:tcPr>
          <w:p w14:paraId="06863A5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-0.49</w:t>
            </w:r>
          </w:p>
          <w:p w14:paraId="6678283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(3.44)</w:t>
            </w:r>
          </w:p>
        </w:tc>
        <w:tc>
          <w:tcPr>
            <w:tcW w:w="720" w:type="dxa"/>
            <w:shd w:val="clear" w:color="auto" w:fill="EDEDED"/>
          </w:tcPr>
          <w:p w14:paraId="2AABAA5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-1.93</w:t>
            </w:r>
          </w:p>
          <w:p w14:paraId="16B17AD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(2.79)</w:t>
            </w:r>
          </w:p>
        </w:tc>
        <w:tc>
          <w:tcPr>
            <w:tcW w:w="810" w:type="dxa"/>
            <w:shd w:val="clear" w:color="auto" w:fill="auto"/>
          </w:tcPr>
          <w:p w14:paraId="31C2FB7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-1.10</w:t>
            </w:r>
          </w:p>
          <w:p w14:paraId="2035471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(1.52)</w:t>
            </w:r>
          </w:p>
        </w:tc>
        <w:tc>
          <w:tcPr>
            <w:tcW w:w="720" w:type="dxa"/>
            <w:shd w:val="clear" w:color="auto" w:fill="EDEDED"/>
          </w:tcPr>
          <w:p w14:paraId="36F50EC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0.55</w:t>
            </w:r>
          </w:p>
          <w:p w14:paraId="7245B95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(1.61)</w:t>
            </w:r>
          </w:p>
        </w:tc>
        <w:tc>
          <w:tcPr>
            <w:tcW w:w="630" w:type="dxa"/>
            <w:shd w:val="clear" w:color="auto" w:fill="auto"/>
          </w:tcPr>
          <w:p w14:paraId="77E3596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-0.14</w:t>
            </w:r>
          </w:p>
          <w:p w14:paraId="67E8A8F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(0.87)</w:t>
            </w:r>
          </w:p>
        </w:tc>
        <w:tc>
          <w:tcPr>
            <w:tcW w:w="630" w:type="dxa"/>
            <w:shd w:val="clear" w:color="auto" w:fill="EDEDED"/>
          </w:tcPr>
          <w:p w14:paraId="63A60322"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1.02</w:t>
            </w:r>
          </w:p>
          <w:p w14:paraId="72D32A8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(1.64)</w:t>
            </w:r>
          </w:p>
        </w:tc>
        <w:tc>
          <w:tcPr>
            <w:tcW w:w="778" w:type="dxa"/>
            <w:shd w:val="clear" w:color="auto" w:fill="auto"/>
          </w:tcPr>
          <w:p w14:paraId="2A1394E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-3.33</w:t>
            </w:r>
          </w:p>
          <w:p w14:paraId="4C4502C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(2.60)</w:t>
            </w:r>
          </w:p>
        </w:tc>
        <w:tc>
          <w:tcPr>
            <w:tcW w:w="720" w:type="dxa"/>
            <w:shd w:val="clear" w:color="auto" w:fill="EDEDED"/>
          </w:tcPr>
          <w:p w14:paraId="0E87FBAA"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0.30</w:t>
            </w:r>
          </w:p>
          <w:p w14:paraId="11CE4FC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(1.85)</w:t>
            </w:r>
          </w:p>
        </w:tc>
        <w:tc>
          <w:tcPr>
            <w:tcW w:w="691" w:type="dxa"/>
            <w:shd w:val="clear" w:color="auto" w:fill="auto"/>
          </w:tcPr>
          <w:p w14:paraId="32D810F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0.54</w:t>
            </w:r>
          </w:p>
          <w:p w14:paraId="260E9A2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(1.12)</w:t>
            </w:r>
          </w:p>
        </w:tc>
        <w:tc>
          <w:tcPr>
            <w:tcW w:w="601" w:type="dxa"/>
            <w:shd w:val="clear" w:color="auto" w:fill="EDEDED"/>
          </w:tcPr>
          <w:p w14:paraId="193BE71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0.08</w:t>
            </w:r>
          </w:p>
          <w:p w14:paraId="2A1E186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(1.32)</w:t>
            </w:r>
          </w:p>
        </w:tc>
        <w:tc>
          <w:tcPr>
            <w:tcW w:w="691" w:type="dxa"/>
            <w:shd w:val="clear" w:color="auto" w:fill="auto"/>
          </w:tcPr>
          <w:p w14:paraId="5F9C061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0.13</w:t>
            </w:r>
          </w:p>
          <w:p w14:paraId="7FA23076"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(1.01)</w:t>
            </w:r>
          </w:p>
        </w:tc>
        <w:tc>
          <w:tcPr>
            <w:tcW w:w="691" w:type="dxa"/>
            <w:shd w:val="clear" w:color="auto" w:fill="EDEDED"/>
          </w:tcPr>
          <w:p w14:paraId="0C2A211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-0.86</w:t>
            </w:r>
          </w:p>
          <w:p w14:paraId="474463D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(1.43)</w:t>
            </w:r>
          </w:p>
        </w:tc>
      </w:tr>
      <w:tr w:rsidR="0030333D" w14:paraId="20CC9902" w14:textId="77777777">
        <w:trPr>
          <w:trHeight w:val="461"/>
        </w:trPr>
        <w:tc>
          <w:tcPr>
            <w:tcW w:w="987" w:type="dxa"/>
            <w:shd w:val="clear" w:color="auto" w:fill="auto"/>
          </w:tcPr>
          <w:p w14:paraId="24B53036" w14:textId="77777777" w:rsidR="0030333D" w:rsidRDefault="00000000">
            <w:pPr>
              <w:rPr>
                <w:rFonts w:ascii="Times New Roman" w:eastAsia="Times New Roman" w:hAnsi="Times New Roman" w:cs="Times New Roman"/>
                <w:sz w:val="18"/>
                <w:szCs w:val="18"/>
              </w:rPr>
            </w:pPr>
            <w:r>
              <w:rPr>
                <w:rFonts w:ascii="Times New Roman" w:eastAsia="Times New Roman" w:hAnsi="Times New Roman" w:cs="Times New Roman"/>
                <w:sz w:val="18"/>
                <w:szCs w:val="18"/>
              </w:rPr>
              <w:t>IND I-M</w:t>
            </w:r>
          </w:p>
        </w:tc>
        <w:tc>
          <w:tcPr>
            <w:tcW w:w="691" w:type="dxa"/>
            <w:shd w:val="clear" w:color="auto" w:fill="EDEDED"/>
          </w:tcPr>
          <w:p w14:paraId="560741C3"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-2.09*</w:t>
            </w:r>
          </w:p>
          <w:p w14:paraId="6F72ADE1"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(1.23)</w:t>
            </w:r>
          </w:p>
        </w:tc>
        <w:tc>
          <w:tcPr>
            <w:tcW w:w="691" w:type="dxa"/>
            <w:shd w:val="clear" w:color="auto" w:fill="auto"/>
          </w:tcPr>
          <w:p w14:paraId="1D857AFD"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0.087</w:t>
            </w:r>
          </w:p>
          <w:p w14:paraId="24CC054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(1.40)</w:t>
            </w:r>
          </w:p>
        </w:tc>
        <w:tc>
          <w:tcPr>
            <w:tcW w:w="691" w:type="dxa"/>
            <w:shd w:val="clear" w:color="auto" w:fill="EDEDED"/>
          </w:tcPr>
          <w:p w14:paraId="41F2D4E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0.40</w:t>
            </w:r>
          </w:p>
          <w:p w14:paraId="1BDD60A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(2.14)</w:t>
            </w:r>
          </w:p>
        </w:tc>
        <w:tc>
          <w:tcPr>
            <w:tcW w:w="691" w:type="dxa"/>
            <w:shd w:val="clear" w:color="auto" w:fill="auto"/>
          </w:tcPr>
          <w:p w14:paraId="16D2BBB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-3.00</w:t>
            </w:r>
          </w:p>
          <w:p w14:paraId="2D793B4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(2.04)</w:t>
            </w:r>
          </w:p>
        </w:tc>
        <w:tc>
          <w:tcPr>
            <w:tcW w:w="691" w:type="dxa"/>
            <w:shd w:val="clear" w:color="auto" w:fill="EDEDED"/>
          </w:tcPr>
          <w:p w14:paraId="1EE3985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-4.03***</w:t>
            </w:r>
          </w:p>
          <w:p w14:paraId="1C58060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(1.39)</w:t>
            </w:r>
          </w:p>
        </w:tc>
        <w:tc>
          <w:tcPr>
            <w:tcW w:w="685" w:type="dxa"/>
            <w:shd w:val="clear" w:color="auto" w:fill="auto"/>
          </w:tcPr>
          <w:p w14:paraId="77EB9B12"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5.12</w:t>
            </w:r>
          </w:p>
          <w:p w14:paraId="24A8F6A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(3.28)</w:t>
            </w:r>
          </w:p>
        </w:tc>
        <w:tc>
          <w:tcPr>
            <w:tcW w:w="720" w:type="dxa"/>
            <w:shd w:val="clear" w:color="auto" w:fill="EDEDED"/>
          </w:tcPr>
          <w:p w14:paraId="010B3AEA"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-8.06***</w:t>
            </w:r>
          </w:p>
          <w:p w14:paraId="26DFD91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(2.92)</w:t>
            </w:r>
          </w:p>
        </w:tc>
        <w:tc>
          <w:tcPr>
            <w:tcW w:w="810" w:type="dxa"/>
            <w:shd w:val="clear" w:color="auto" w:fill="auto"/>
          </w:tcPr>
          <w:p w14:paraId="7498C03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-6.57***</w:t>
            </w:r>
          </w:p>
          <w:p w14:paraId="231205E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(2.09)</w:t>
            </w:r>
          </w:p>
        </w:tc>
        <w:tc>
          <w:tcPr>
            <w:tcW w:w="720" w:type="dxa"/>
            <w:shd w:val="clear" w:color="auto" w:fill="EDEDED"/>
          </w:tcPr>
          <w:p w14:paraId="05797F4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-5.35**</w:t>
            </w:r>
          </w:p>
          <w:p w14:paraId="2115AE0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(2.05)</w:t>
            </w:r>
          </w:p>
        </w:tc>
        <w:tc>
          <w:tcPr>
            <w:tcW w:w="630" w:type="dxa"/>
            <w:shd w:val="clear" w:color="auto" w:fill="auto"/>
          </w:tcPr>
          <w:p w14:paraId="57C1079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-3.21***</w:t>
            </w:r>
          </w:p>
          <w:p w14:paraId="234D4B0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(1.15)</w:t>
            </w:r>
          </w:p>
        </w:tc>
        <w:tc>
          <w:tcPr>
            <w:tcW w:w="630" w:type="dxa"/>
            <w:shd w:val="clear" w:color="auto" w:fill="EDEDED"/>
          </w:tcPr>
          <w:p w14:paraId="674337B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-0.15</w:t>
            </w:r>
          </w:p>
          <w:p w14:paraId="18BD0C7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(1.62)</w:t>
            </w:r>
          </w:p>
        </w:tc>
        <w:tc>
          <w:tcPr>
            <w:tcW w:w="778" w:type="dxa"/>
            <w:shd w:val="clear" w:color="auto" w:fill="auto"/>
          </w:tcPr>
          <w:p w14:paraId="279533A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1.02</w:t>
            </w:r>
          </w:p>
          <w:p w14:paraId="21EAC35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(2.89)</w:t>
            </w:r>
          </w:p>
        </w:tc>
        <w:tc>
          <w:tcPr>
            <w:tcW w:w="720" w:type="dxa"/>
            <w:shd w:val="clear" w:color="auto" w:fill="EDEDED"/>
          </w:tcPr>
          <w:p w14:paraId="4654B34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-4.27**</w:t>
            </w:r>
          </w:p>
          <w:p w14:paraId="3A6D858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(1.75)</w:t>
            </w:r>
          </w:p>
        </w:tc>
        <w:tc>
          <w:tcPr>
            <w:tcW w:w="691" w:type="dxa"/>
            <w:shd w:val="clear" w:color="auto" w:fill="auto"/>
          </w:tcPr>
          <w:p w14:paraId="16A764E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6.09**</w:t>
            </w:r>
          </w:p>
          <w:p w14:paraId="2ED5DC5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(2.79)</w:t>
            </w:r>
          </w:p>
        </w:tc>
        <w:tc>
          <w:tcPr>
            <w:tcW w:w="601" w:type="dxa"/>
            <w:shd w:val="clear" w:color="auto" w:fill="EDEDED"/>
          </w:tcPr>
          <w:p w14:paraId="5D73A05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1.36</w:t>
            </w:r>
          </w:p>
          <w:p w14:paraId="37DB318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(1.42)</w:t>
            </w:r>
          </w:p>
        </w:tc>
        <w:tc>
          <w:tcPr>
            <w:tcW w:w="691" w:type="dxa"/>
            <w:shd w:val="clear" w:color="auto" w:fill="auto"/>
          </w:tcPr>
          <w:p w14:paraId="6F07CE8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-1.55</w:t>
            </w:r>
          </w:p>
          <w:p w14:paraId="198BCE2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(1.24)</w:t>
            </w:r>
          </w:p>
        </w:tc>
        <w:tc>
          <w:tcPr>
            <w:tcW w:w="691" w:type="dxa"/>
            <w:shd w:val="clear" w:color="auto" w:fill="EDEDED"/>
          </w:tcPr>
          <w:p w14:paraId="2370098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-4.31**</w:t>
            </w:r>
          </w:p>
          <w:p w14:paraId="1C2A60B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(1.81)</w:t>
            </w:r>
          </w:p>
        </w:tc>
      </w:tr>
      <w:tr w:rsidR="0030333D" w14:paraId="5F727DA4" w14:textId="77777777">
        <w:trPr>
          <w:trHeight w:val="461"/>
        </w:trPr>
        <w:tc>
          <w:tcPr>
            <w:tcW w:w="987" w:type="dxa"/>
            <w:shd w:val="clear" w:color="auto" w:fill="auto"/>
          </w:tcPr>
          <w:p w14:paraId="64169D5E" w14:textId="77777777" w:rsidR="0030333D" w:rsidRDefault="00000000">
            <w:pPr>
              <w:rPr>
                <w:rFonts w:ascii="Times New Roman" w:eastAsia="Times New Roman" w:hAnsi="Times New Roman" w:cs="Times New Roman"/>
                <w:sz w:val="18"/>
                <w:szCs w:val="18"/>
              </w:rPr>
            </w:pPr>
            <w:r>
              <w:rPr>
                <w:rFonts w:ascii="Times New Roman" w:eastAsia="Times New Roman" w:hAnsi="Times New Roman" w:cs="Times New Roman"/>
                <w:sz w:val="18"/>
                <w:szCs w:val="18"/>
              </w:rPr>
              <w:t>IND E-U</w:t>
            </w:r>
          </w:p>
        </w:tc>
        <w:tc>
          <w:tcPr>
            <w:tcW w:w="691" w:type="dxa"/>
            <w:shd w:val="clear" w:color="auto" w:fill="EDEDED"/>
          </w:tcPr>
          <w:p w14:paraId="52A00F77"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-0.86</w:t>
            </w:r>
          </w:p>
          <w:p w14:paraId="617E2CC8"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(1.33)</w:t>
            </w:r>
          </w:p>
        </w:tc>
        <w:tc>
          <w:tcPr>
            <w:tcW w:w="691" w:type="dxa"/>
            <w:shd w:val="clear" w:color="auto" w:fill="auto"/>
          </w:tcPr>
          <w:p w14:paraId="4088EBB8"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-0.57</w:t>
            </w:r>
          </w:p>
          <w:p w14:paraId="5FC7BD5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(1.86)</w:t>
            </w:r>
          </w:p>
        </w:tc>
        <w:tc>
          <w:tcPr>
            <w:tcW w:w="691" w:type="dxa"/>
            <w:shd w:val="clear" w:color="auto" w:fill="EDEDED"/>
          </w:tcPr>
          <w:p w14:paraId="0CB8C2F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-1.66</w:t>
            </w:r>
          </w:p>
          <w:p w14:paraId="271BAB2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(2.24)</w:t>
            </w:r>
          </w:p>
        </w:tc>
        <w:tc>
          <w:tcPr>
            <w:tcW w:w="691" w:type="dxa"/>
            <w:shd w:val="clear" w:color="auto" w:fill="auto"/>
          </w:tcPr>
          <w:p w14:paraId="6B82174A"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-3.26</w:t>
            </w:r>
          </w:p>
          <w:p w14:paraId="78C45216"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(2.23)</w:t>
            </w:r>
          </w:p>
        </w:tc>
        <w:tc>
          <w:tcPr>
            <w:tcW w:w="691" w:type="dxa"/>
            <w:shd w:val="clear" w:color="auto" w:fill="EDEDED"/>
          </w:tcPr>
          <w:p w14:paraId="1E8E1EE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-3.34**</w:t>
            </w:r>
          </w:p>
          <w:p w14:paraId="4D43BEE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(1.48)</w:t>
            </w:r>
          </w:p>
        </w:tc>
        <w:tc>
          <w:tcPr>
            <w:tcW w:w="685" w:type="dxa"/>
            <w:shd w:val="clear" w:color="auto" w:fill="auto"/>
          </w:tcPr>
          <w:p w14:paraId="3AFFBF52"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8.44</w:t>
            </w:r>
          </w:p>
          <w:p w14:paraId="005B7BF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(5.15)</w:t>
            </w:r>
          </w:p>
        </w:tc>
        <w:tc>
          <w:tcPr>
            <w:tcW w:w="720" w:type="dxa"/>
            <w:shd w:val="clear" w:color="auto" w:fill="EDEDED"/>
          </w:tcPr>
          <w:p w14:paraId="50B07286"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19.00***</w:t>
            </w:r>
          </w:p>
          <w:p w14:paraId="1C2661D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(5.28)</w:t>
            </w:r>
          </w:p>
        </w:tc>
        <w:tc>
          <w:tcPr>
            <w:tcW w:w="810" w:type="dxa"/>
            <w:shd w:val="clear" w:color="auto" w:fill="auto"/>
          </w:tcPr>
          <w:p w14:paraId="0783365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-7.33**</w:t>
            </w:r>
          </w:p>
          <w:p w14:paraId="4FC86FE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(2.81)</w:t>
            </w:r>
          </w:p>
        </w:tc>
        <w:tc>
          <w:tcPr>
            <w:tcW w:w="720" w:type="dxa"/>
            <w:shd w:val="clear" w:color="auto" w:fill="EDEDED"/>
          </w:tcPr>
          <w:p w14:paraId="577A225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-4.08</w:t>
            </w:r>
          </w:p>
          <w:p w14:paraId="03848EF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(2.59)</w:t>
            </w:r>
          </w:p>
        </w:tc>
        <w:tc>
          <w:tcPr>
            <w:tcW w:w="630" w:type="dxa"/>
            <w:shd w:val="clear" w:color="auto" w:fill="auto"/>
          </w:tcPr>
          <w:p w14:paraId="0F6D8362"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-1.85</w:t>
            </w:r>
          </w:p>
          <w:p w14:paraId="7755FE6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(1.34)</w:t>
            </w:r>
          </w:p>
        </w:tc>
        <w:tc>
          <w:tcPr>
            <w:tcW w:w="630" w:type="dxa"/>
            <w:shd w:val="clear" w:color="auto" w:fill="EDEDED"/>
          </w:tcPr>
          <w:p w14:paraId="390E5B7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3.08</w:t>
            </w:r>
          </w:p>
          <w:p w14:paraId="76D6A83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(2.34)</w:t>
            </w:r>
          </w:p>
        </w:tc>
        <w:tc>
          <w:tcPr>
            <w:tcW w:w="778" w:type="dxa"/>
            <w:shd w:val="clear" w:color="auto" w:fill="auto"/>
          </w:tcPr>
          <w:p w14:paraId="2400E9C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8.82***</w:t>
            </w:r>
          </w:p>
          <w:p w14:paraId="5214509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(3.32)</w:t>
            </w:r>
          </w:p>
        </w:tc>
        <w:tc>
          <w:tcPr>
            <w:tcW w:w="720" w:type="dxa"/>
            <w:shd w:val="clear" w:color="auto" w:fill="EDEDED"/>
          </w:tcPr>
          <w:p w14:paraId="706411D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2.95</w:t>
            </w:r>
          </w:p>
          <w:p w14:paraId="4A0D10F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(2.27)</w:t>
            </w:r>
          </w:p>
        </w:tc>
        <w:tc>
          <w:tcPr>
            <w:tcW w:w="691" w:type="dxa"/>
            <w:shd w:val="clear" w:color="auto" w:fill="auto"/>
          </w:tcPr>
          <w:p w14:paraId="724FAB1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8.12***</w:t>
            </w:r>
          </w:p>
          <w:p w14:paraId="756289E2"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(3.01)</w:t>
            </w:r>
          </w:p>
        </w:tc>
        <w:tc>
          <w:tcPr>
            <w:tcW w:w="601" w:type="dxa"/>
            <w:shd w:val="clear" w:color="auto" w:fill="EDEDED"/>
          </w:tcPr>
          <w:p w14:paraId="605093B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4.71***</w:t>
            </w:r>
          </w:p>
          <w:p w14:paraId="0E3FD3F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(1.61)</w:t>
            </w:r>
          </w:p>
        </w:tc>
        <w:tc>
          <w:tcPr>
            <w:tcW w:w="691" w:type="dxa"/>
            <w:shd w:val="clear" w:color="auto" w:fill="auto"/>
          </w:tcPr>
          <w:p w14:paraId="41B431B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-2.74*</w:t>
            </w:r>
          </w:p>
          <w:p w14:paraId="38E49BD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(1.54)</w:t>
            </w:r>
          </w:p>
        </w:tc>
        <w:tc>
          <w:tcPr>
            <w:tcW w:w="691" w:type="dxa"/>
            <w:shd w:val="clear" w:color="auto" w:fill="EDEDED"/>
          </w:tcPr>
          <w:p w14:paraId="353B56D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-0.73</w:t>
            </w:r>
          </w:p>
          <w:p w14:paraId="407EE70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(2.13)</w:t>
            </w:r>
          </w:p>
        </w:tc>
      </w:tr>
      <w:tr w:rsidR="0030333D" w14:paraId="35EFAD3A" w14:textId="77777777">
        <w:trPr>
          <w:trHeight w:val="461"/>
        </w:trPr>
        <w:tc>
          <w:tcPr>
            <w:tcW w:w="987" w:type="dxa"/>
            <w:shd w:val="clear" w:color="auto" w:fill="auto"/>
          </w:tcPr>
          <w:p w14:paraId="464AE4F4" w14:textId="77777777" w:rsidR="0030333D" w:rsidRDefault="00000000">
            <w:pPr>
              <w:rPr>
                <w:rFonts w:ascii="Times New Roman" w:eastAsia="Times New Roman" w:hAnsi="Times New Roman" w:cs="Times New Roman"/>
                <w:b/>
                <w:color w:val="000000"/>
                <w:sz w:val="18"/>
                <w:szCs w:val="18"/>
              </w:rPr>
            </w:pPr>
            <w:r>
              <w:rPr>
                <w:rFonts w:ascii="Times New Roman" w:eastAsia="Times New Roman" w:hAnsi="Times New Roman" w:cs="Times New Roman"/>
                <w:sz w:val="18"/>
                <w:szCs w:val="18"/>
              </w:rPr>
              <w:t>IND CP</w:t>
            </w:r>
          </w:p>
        </w:tc>
        <w:tc>
          <w:tcPr>
            <w:tcW w:w="691" w:type="dxa"/>
            <w:shd w:val="clear" w:color="auto" w:fill="EDEDED"/>
          </w:tcPr>
          <w:p w14:paraId="423E3F74"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-1.26</w:t>
            </w:r>
          </w:p>
          <w:p w14:paraId="691524A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 xml:space="preserve">(1.09) </w:t>
            </w:r>
          </w:p>
        </w:tc>
        <w:tc>
          <w:tcPr>
            <w:tcW w:w="691" w:type="dxa"/>
            <w:shd w:val="clear" w:color="auto" w:fill="auto"/>
          </w:tcPr>
          <w:p w14:paraId="6B2CCB06"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5.27**</w:t>
            </w:r>
          </w:p>
          <w:p w14:paraId="30759EA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(2.26)</w:t>
            </w:r>
          </w:p>
        </w:tc>
        <w:tc>
          <w:tcPr>
            <w:tcW w:w="691" w:type="dxa"/>
            <w:shd w:val="clear" w:color="auto" w:fill="EDEDED"/>
          </w:tcPr>
          <w:p w14:paraId="2B53BDF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-0.38</w:t>
            </w:r>
          </w:p>
          <w:p w14:paraId="46AC668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(2.11)</w:t>
            </w:r>
          </w:p>
        </w:tc>
        <w:tc>
          <w:tcPr>
            <w:tcW w:w="691" w:type="dxa"/>
            <w:shd w:val="clear" w:color="auto" w:fill="auto"/>
          </w:tcPr>
          <w:p w14:paraId="5EE63E2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-0.90</w:t>
            </w:r>
          </w:p>
          <w:p w14:paraId="41EB5AB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(2.01)</w:t>
            </w:r>
          </w:p>
        </w:tc>
        <w:tc>
          <w:tcPr>
            <w:tcW w:w="691" w:type="dxa"/>
            <w:shd w:val="clear" w:color="auto" w:fill="EDEDED"/>
          </w:tcPr>
          <w:p w14:paraId="7D035A8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-2.50**</w:t>
            </w:r>
          </w:p>
          <w:p w14:paraId="04B483D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(1.23)</w:t>
            </w:r>
          </w:p>
        </w:tc>
        <w:tc>
          <w:tcPr>
            <w:tcW w:w="685" w:type="dxa"/>
            <w:shd w:val="clear" w:color="auto" w:fill="auto"/>
          </w:tcPr>
          <w:p w14:paraId="1C31F186"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6.13*</w:t>
            </w:r>
          </w:p>
          <w:p w14:paraId="430B5A2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(3.55)</w:t>
            </w:r>
          </w:p>
        </w:tc>
        <w:tc>
          <w:tcPr>
            <w:tcW w:w="720" w:type="dxa"/>
            <w:shd w:val="clear" w:color="auto" w:fill="EDEDED"/>
          </w:tcPr>
          <w:p w14:paraId="258F488A"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-8.46***</w:t>
            </w:r>
          </w:p>
          <w:p w14:paraId="04DEA7F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(2.93)</w:t>
            </w:r>
          </w:p>
        </w:tc>
        <w:tc>
          <w:tcPr>
            <w:tcW w:w="810" w:type="dxa"/>
            <w:shd w:val="clear" w:color="auto" w:fill="auto"/>
          </w:tcPr>
          <w:p w14:paraId="6CDE22F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-5.56***</w:t>
            </w:r>
          </w:p>
          <w:p w14:paraId="20F04A1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(2.04)</w:t>
            </w:r>
          </w:p>
        </w:tc>
        <w:tc>
          <w:tcPr>
            <w:tcW w:w="720" w:type="dxa"/>
            <w:shd w:val="clear" w:color="auto" w:fill="EDEDED"/>
          </w:tcPr>
          <w:p w14:paraId="3D56ADE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-7.69***</w:t>
            </w:r>
          </w:p>
          <w:p w14:paraId="415AE33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(1.99)</w:t>
            </w:r>
          </w:p>
        </w:tc>
        <w:tc>
          <w:tcPr>
            <w:tcW w:w="630" w:type="dxa"/>
            <w:shd w:val="clear" w:color="auto" w:fill="auto"/>
          </w:tcPr>
          <w:p w14:paraId="56CC975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-1.65</w:t>
            </w:r>
          </w:p>
          <w:p w14:paraId="01D5D772"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(1.07)</w:t>
            </w:r>
          </w:p>
        </w:tc>
        <w:tc>
          <w:tcPr>
            <w:tcW w:w="630" w:type="dxa"/>
            <w:shd w:val="clear" w:color="auto" w:fill="EDEDED"/>
          </w:tcPr>
          <w:p w14:paraId="03B6DBC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0.49</w:t>
            </w:r>
          </w:p>
          <w:p w14:paraId="191B017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(1.71)</w:t>
            </w:r>
          </w:p>
        </w:tc>
        <w:tc>
          <w:tcPr>
            <w:tcW w:w="778" w:type="dxa"/>
            <w:shd w:val="clear" w:color="auto" w:fill="auto"/>
          </w:tcPr>
          <w:p w14:paraId="3C1439B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1.85</w:t>
            </w:r>
          </w:p>
          <w:p w14:paraId="6EF6157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(2.95)</w:t>
            </w:r>
          </w:p>
        </w:tc>
        <w:tc>
          <w:tcPr>
            <w:tcW w:w="720" w:type="dxa"/>
            <w:shd w:val="clear" w:color="auto" w:fill="EDEDED"/>
          </w:tcPr>
          <w:p w14:paraId="71A2C72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-4.51**</w:t>
            </w:r>
          </w:p>
          <w:p w14:paraId="0CBE26B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(1.92)</w:t>
            </w:r>
          </w:p>
        </w:tc>
        <w:tc>
          <w:tcPr>
            <w:tcW w:w="691" w:type="dxa"/>
            <w:shd w:val="clear" w:color="auto" w:fill="auto"/>
          </w:tcPr>
          <w:p w14:paraId="75DFF95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6.10**</w:t>
            </w:r>
          </w:p>
          <w:p w14:paraId="2C6D8E0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(2.62)</w:t>
            </w:r>
          </w:p>
        </w:tc>
        <w:tc>
          <w:tcPr>
            <w:tcW w:w="601" w:type="dxa"/>
            <w:shd w:val="clear" w:color="auto" w:fill="EDEDED"/>
          </w:tcPr>
          <w:p w14:paraId="01EE22C6"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3.27**</w:t>
            </w:r>
          </w:p>
          <w:p w14:paraId="27B8A7F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(1.59)</w:t>
            </w:r>
          </w:p>
        </w:tc>
        <w:tc>
          <w:tcPr>
            <w:tcW w:w="691" w:type="dxa"/>
            <w:shd w:val="clear" w:color="auto" w:fill="auto"/>
          </w:tcPr>
          <w:p w14:paraId="720FDA96"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-1.52</w:t>
            </w:r>
          </w:p>
          <w:p w14:paraId="65419E02"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(1.20)</w:t>
            </w:r>
          </w:p>
        </w:tc>
        <w:tc>
          <w:tcPr>
            <w:tcW w:w="691" w:type="dxa"/>
            <w:shd w:val="clear" w:color="auto" w:fill="EDEDED"/>
          </w:tcPr>
          <w:p w14:paraId="215793C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-5.04***</w:t>
            </w:r>
          </w:p>
          <w:p w14:paraId="37CC5BE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(1.75)</w:t>
            </w:r>
          </w:p>
        </w:tc>
      </w:tr>
      <w:tr w:rsidR="0030333D" w14:paraId="5EA9CFD8" w14:textId="77777777">
        <w:trPr>
          <w:trHeight w:val="461"/>
        </w:trPr>
        <w:tc>
          <w:tcPr>
            <w:tcW w:w="987" w:type="dxa"/>
            <w:shd w:val="clear" w:color="auto" w:fill="auto"/>
          </w:tcPr>
          <w:p w14:paraId="46D555E6" w14:textId="77777777" w:rsidR="0030333D" w:rsidRDefault="00000000">
            <w:pPr>
              <w:rPr>
                <w:rFonts w:ascii="Times New Roman" w:eastAsia="Times New Roman" w:hAnsi="Times New Roman" w:cs="Times New Roman"/>
                <w:b/>
                <w:color w:val="000000"/>
                <w:sz w:val="18"/>
                <w:szCs w:val="18"/>
              </w:rPr>
            </w:pPr>
            <w:r>
              <w:rPr>
                <w:rFonts w:ascii="Times New Roman" w:eastAsia="Times New Roman" w:hAnsi="Times New Roman" w:cs="Times New Roman"/>
                <w:sz w:val="18"/>
                <w:szCs w:val="18"/>
              </w:rPr>
              <w:t>IND F-R</w:t>
            </w:r>
          </w:p>
        </w:tc>
        <w:tc>
          <w:tcPr>
            <w:tcW w:w="691" w:type="dxa"/>
            <w:shd w:val="clear" w:color="auto" w:fill="EDEDED"/>
          </w:tcPr>
          <w:p w14:paraId="014D2B8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-5.16**</w:t>
            </w:r>
          </w:p>
          <w:p w14:paraId="088AAA4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(1.97)</w:t>
            </w:r>
          </w:p>
        </w:tc>
        <w:tc>
          <w:tcPr>
            <w:tcW w:w="691" w:type="dxa"/>
            <w:shd w:val="clear" w:color="auto" w:fill="auto"/>
          </w:tcPr>
          <w:p w14:paraId="4AB2A13C"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-1.27</w:t>
            </w:r>
          </w:p>
          <w:p w14:paraId="41E0586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(2.95)</w:t>
            </w:r>
          </w:p>
        </w:tc>
        <w:tc>
          <w:tcPr>
            <w:tcW w:w="691" w:type="dxa"/>
            <w:shd w:val="clear" w:color="auto" w:fill="EDEDED"/>
          </w:tcPr>
          <w:p w14:paraId="56ACEC5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-7.67**</w:t>
            </w:r>
          </w:p>
          <w:p w14:paraId="42F2CB66"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(3.30)</w:t>
            </w:r>
          </w:p>
        </w:tc>
        <w:tc>
          <w:tcPr>
            <w:tcW w:w="691" w:type="dxa"/>
            <w:shd w:val="clear" w:color="auto" w:fill="auto"/>
          </w:tcPr>
          <w:p w14:paraId="7771D81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-9.52***</w:t>
            </w:r>
          </w:p>
          <w:p w14:paraId="657B50C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(2.35)</w:t>
            </w:r>
          </w:p>
        </w:tc>
        <w:tc>
          <w:tcPr>
            <w:tcW w:w="691" w:type="dxa"/>
            <w:shd w:val="clear" w:color="auto" w:fill="EDEDED"/>
          </w:tcPr>
          <w:p w14:paraId="46D7CB1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-6.37***</w:t>
            </w:r>
          </w:p>
          <w:p w14:paraId="5F96626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(2.35)</w:t>
            </w:r>
          </w:p>
        </w:tc>
        <w:tc>
          <w:tcPr>
            <w:tcW w:w="685" w:type="dxa"/>
            <w:shd w:val="clear" w:color="auto" w:fill="auto"/>
          </w:tcPr>
          <w:p w14:paraId="2749123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-10.43***</w:t>
            </w:r>
          </w:p>
          <w:p w14:paraId="394C557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(3.93)</w:t>
            </w:r>
          </w:p>
        </w:tc>
        <w:tc>
          <w:tcPr>
            <w:tcW w:w="720" w:type="dxa"/>
            <w:shd w:val="clear" w:color="auto" w:fill="EDEDED"/>
          </w:tcPr>
          <w:p w14:paraId="4077AAB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w:t>
            </w:r>
            <w:r>
              <w:rPr>
                <w:rFonts w:ascii="Arial Narrow" w:eastAsia="Arial Narrow" w:hAnsi="Arial Narrow" w:cs="Arial Narrow"/>
                <w:color w:val="000000"/>
                <w:sz w:val="16"/>
                <w:szCs w:val="16"/>
              </w:rPr>
              <w:t>20.58***</w:t>
            </w:r>
          </w:p>
          <w:p w14:paraId="49DE262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(4.86)</w:t>
            </w:r>
          </w:p>
        </w:tc>
        <w:tc>
          <w:tcPr>
            <w:tcW w:w="810" w:type="dxa"/>
            <w:shd w:val="clear" w:color="auto" w:fill="auto"/>
          </w:tcPr>
          <w:p w14:paraId="6A6B361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w:t>
            </w:r>
            <w:r>
              <w:rPr>
                <w:rFonts w:ascii="Arial Narrow" w:eastAsia="Arial Narrow" w:hAnsi="Arial Narrow" w:cs="Arial Narrow"/>
                <w:color w:val="000000"/>
                <w:sz w:val="16"/>
                <w:szCs w:val="16"/>
              </w:rPr>
              <w:t>11.08***</w:t>
            </w:r>
          </w:p>
          <w:p w14:paraId="2E06A42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(3.37)</w:t>
            </w:r>
          </w:p>
        </w:tc>
        <w:tc>
          <w:tcPr>
            <w:tcW w:w="720" w:type="dxa"/>
            <w:shd w:val="clear" w:color="auto" w:fill="EDEDED"/>
          </w:tcPr>
          <w:p w14:paraId="4FD3AAC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w:t>
            </w:r>
            <w:r>
              <w:rPr>
                <w:rFonts w:ascii="Arial Narrow" w:eastAsia="Arial Narrow" w:hAnsi="Arial Narrow" w:cs="Arial Narrow"/>
                <w:color w:val="000000"/>
                <w:sz w:val="16"/>
                <w:szCs w:val="16"/>
              </w:rPr>
              <w:t>11.97***</w:t>
            </w:r>
          </w:p>
          <w:p w14:paraId="064A985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(4.39)</w:t>
            </w:r>
          </w:p>
        </w:tc>
        <w:tc>
          <w:tcPr>
            <w:tcW w:w="630" w:type="dxa"/>
            <w:shd w:val="clear" w:color="auto" w:fill="auto"/>
          </w:tcPr>
          <w:p w14:paraId="76C3F0F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-3.15**</w:t>
            </w:r>
          </w:p>
          <w:p w14:paraId="56010582"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(1.49)</w:t>
            </w:r>
          </w:p>
        </w:tc>
        <w:tc>
          <w:tcPr>
            <w:tcW w:w="630" w:type="dxa"/>
            <w:shd w:val="clear" w:color="auto" w:fill="EDEDED"/>
          </w:tcPr>
          <w:p w14:paraId="003D1FC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-6.83**</w:t>
            </w:r>
          </w:p>
          <w:p w14:paraId="43F8B6B6"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(3.09)</w:t>
            </w:r>
          </w:p>
        </w:tc>
        <w:tc>
          <w:tcPr>
            <w:tcW w:w="778" w:type="dxa"/>
            <w:shd w:val="clear" w:color="auto" w:fill="auto"/>
          </w:tcPr>
          <w:p w14:paraId="37863E6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w:t>
            </w:r>
            <w:r>
              <w:rPr>
                <w:rFonts w:ascii="Arial Narrow" w:eastAsia="Arial Narrow" w:hAnsi="Arial Narrow" w:cs="Arial Narrow"/>
                <w:color w:val="000000"/>
                <w:sz w:val="16"/>
                <w:szCs w:val="16"/>
              </w:rPr>
              <w:t>15.53***</w:t>
            </w:r>
          </w:p>
          <w:p w14:paraId="3414FF4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(4.91)</w:t>
            </w:r>
          </w:p>
        </w:tc>
        <w:tc>
          <w:tcPr>
            <w:tcW w:w="720" w:type="dxa"/>
            <w:shd w:val="clear" w:color="auto" w:fill="EDEDED"/>
          </w:tcPr>
          <w:p w14:paraId="249275C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5.49</w:t>
            </w:r>
          </w:p>
          <w:p w14:paraId="21BC259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(5.53)</w:t>
            </w:r>
          </w:p>
        </w:tc>
        <w:tc>
          <w:tcPr>
            <w:tcW w:w="691" w:type="dxa"/>
            <w:shd w:val="clear" w:color="auto" w:fill="auto"/>
          </w:tcPr>
          <w:p w14:paraId="49FBA9DD" w14:textId="77777777" w:rsidR="0030333D" w:rsidRDefault="0030333D">
            <w:pPr>
              <w:rPr>
                <w:rFonts w:ascii="Arial Narrow" w:eastAsia="Arial Narrow" w:hAnsi="Arial Narrow" w:cs="Arial Narrow"/>
                <w:color w:val="000000"/>
                <w:sz w:val="16"/>
                <w:szCs w:val="16"/>
              </w:rPr>
            </w:pPr>
          </w:p>
        </w:tc>
        <w:tc>
          <w:tcPr>
            <w:tcW w:w="601" w:type="dxa"/>
            <w:shd w:val="clear" w:color="auto" w:fill="EDEDED"/>
          </w:tcPr>
          <w:p w14:paraId="56B0551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-2.14</w:t>
            </w:r>
          </w:p>
          <w:p w14:paraId="45BDD422"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(1.57)</w:t>
            </w:r>
          </w:p>
        </w:tc>
        <w:tc>
          <w:tcPr>
            <w:tcW w:w="691" w:type="dxa"/>
            <w:shd w:val="clear" w:color="auto" w:fill="auto"/>
          </w:tcPr>
          <w:p w14:paraId="1E8008B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-5.29**</w:t>
            </w:r>
          </w:p>
          <w:p w14:paraId="30DA878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(2.02)</w:t>
            </w:r>
          </w:p>
        </w:tc>
        <w:tc>
          <w:tcPr>
            <w:tcW w:w="691" w:type="dxa"/>
            <w:shd w:val="clear" w:color="auto" w:fill="EDEDED"/>
          </w:tcPr>
          <w:p w14:paraId="4A8E315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-5.62*</w:t>
            </w:r>
          </w:p>
          <w:p w14:paraId="4C07B4A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(2.85)</w:t>
            </w:r>
          </w:p>
        </w:tc>
      </w:tr>
      <w:tr w:rsidR="0030333D" w14:paraId="3D185DE0" w14:textId="77777777">
        <w:trPr>
          <w:trHeight w:val="461"/>
        </w:trPr>
        <w:tc>
          <w:tcPr>
            <w:tcW w:w="987" w:type="dxa"/>
            <w:shd w:val="clear" w:color="auto" w:fill="auto"/>
          </w:tcPr>
          <w:p w14:paraId="33976A43" w14:textId="77777777" w:rsidR="0030333D" w:rsidRDefault="00000000">
            <w:pPr>
              <w:rPr>
                <w:rFonts w:ascii="Times New Roman" w:eastAsia="Times New Roman" w:hAnsi="Times New Roman" w:cs="Times New Roman"/>
                <w:sz w:val="18"/>
                <w:szCs w:val="18"/>
              </w:rPr>
            </w:pPr>
            <w:r>
              <w:rPr>
                <w:rFonts w:ascii="Times New Roman" w:eastAsia="Times New Roman" w:hAnsi="Times New Roman" w:cs="Times New Roman"/>
                <w:sz w:val="18"/>
                <w:szCs w:val="18"/>
              </w:rPr>
              <w:t>IND C-I</w:t>
            </w:r>
          </w:p>
        </w:tc>
        <w:tc>
          <w:tcPr>
            <w:tcW w:w="691" w:type="dxa"/>
            <w:shd w:val="clear" w:color="auto" w:fill="EDEDED"/>
          </w:tcPr>
          <w:p w14:paraId="52D4492E" w14:textId="77777777" w:rsidR="0030333D" w:rsidRDefault="0030333D">
            <w:pPr>
              <w:rPr>
                <w:rFonts w:ascii="Arial Narrow" w:eastAsia="Arial Narrow" w:hAnsi="Arial Narrow" w:cs="Arial Narrow"/>
                <w:sz w:val="16"/>
                <w:szCs w:val="16"/>
              </w:rPr>
            </w:pPr>
          </w:p>
        </w:tc>
        <w:tc>
          <w:tcPr>
            <w:tcW w:w="691" w:type="dxa"/>
            <w:shd w:val="clear" w:color="auto" w:fill="auto"/>
          </w:tcPr>
          <w:p w14:paraId="3508566F" w14:textId="77777777" w:rsidR="0030333D" w:rsidRDefault="0030333D">
            <w:pPr>
              <w:rPr>
                <w:rFonts w:ascii="Arial Narrow" w:eastAsia="Arial Narrow" w:hAnsi="Arial Narrow" w:cs="Arial Narrow"/>
                <w:color w:val="000000"/>
                <w:sz w:val="16"/>
                <w:szCs w:val="16"/>
              </w:rPr>
            </w:pPr>
          </w:p>
        </w:tc>
        <w:tc>
          <w:tcPr>
            <w:tcW w:w="691" w:type="dxa"/>
            <w:shd w:val="clear" w:color="auto" w:fill="EDEDED"/>
          </w:tcPr>
          <w:p w14:paraId="1BE8A94F" w14:textId="77777777" w:rsidR="0030333D" w:rsidRDefault="0030333D">
            <w:pPr>
              <w:rPr>
                <w:rFonts w:ascii="Arial Narrow" w:eastAsia="Arial Narrow" w:hAnsi="Arial Narrow" w:cs="Arial Narrow"/>
                <w:color w:val="000000"/>
                <w:sz w:val="16"/>
                <w:szCs w:val="16"/>
              </w:rPr>
            </w:pPr>
          </w:p>
        </w:tc>
        <w:tc>
          <w:tcPr>
            <w:tcW w:w="691" w:type="dxa"/>
            <w:shd w:val="clear" w:color="auto" w:fill="auto"/>
          </w:tcPr>
          <w:p w14:paraId="47B3EC07" w14:textId="77777777" w:rsidR="0030333D" w:rsidRDefault="0030333D">
            <w:pPr>
              <w:rPr>
                <w:rFonts w:ascii="Arial Narrow" w:eastAsia="Arial Narrow" w:hAnsi="Arial Narrow" w:cs="Arial Narrow"/>
                <w:color w:val="000000"/>
                <w:sz w:val="16"/>
                <w:szCs w:val="16"/>
              </w:rPr>
            </w:pPr>
          </w:p>
        </w:tc>
        <w:tc>
          <w:tcPr>
            <w:tcW w:w="691" w:type="dxa"/>
            <w:shd w:val="clear" w:color="auto" w:fill="EDEDED"/>
          </w:tcPr>
          <w:p w14:paraId="5C72A873" w14:textId="77777777" w:rsidR="0030333D" w:rsidRDefault="0030333D">
            <w:pPr>
              <w:rPr>
                <w:rFonts w:ascii="Arial Narrow" w:eastAsia="Arial Narrow" w:hAnsi="Arial Narrow" w:cs="Arial Narrow"/>
                <w:color w:val="000000"/>
                <w:sz w:val="16"/>
                <w:szCs w:val="16"/>
              </w:rPr>
            </w:pPr>
          </w:p>
        </w:tc>
        <w:tc>
          <w:tcPr>
            <w:tcW w:w="685" w:type="dxa"/>
            <w:shd w:val="clear" w:color="auto" w:fill="auto"/>
          </w:tcPr>
          <w:p w14:paraId="35B530CD" w14:textId="77777777" w:rsidR="0030333D" w:rsidRDefault="0030333D">
            <w:pPr>
              <w:rPr>
                <w:rFonts w:ascii="Arial Narrow" w:eastAsia="Arial Narrow" w:hAnsi="Arial Narrow" w:cs="Arial Narrow"/>
                <w:color w:val="000000"/>
                <w:sz w:val="16"/>
                <w:szCs w:val="16"/>
              </w:rPr>
            </w:pPr>
          </w:p>
        </w:tc>
        <w:tc>
          <w:tcPr>
            <w:tcW w:w="720" w:type="dxa"/>
            <w:shd w:val="clear" w:color="auto" w:fill="EDEDED"/>
          </w:tcPr>
          <w:p w14:paraId="031DE6F8" w14:textId="77777777" w:rsidR="0030333D" w:rsidRDefault="0030333D">
            <w:pPr>
              <w:rPr>
                <w:rFonts w:ascii="Arial Narrow" w:eastAsia="Arial Narrow" w:hAnsi="Arial Narrow" w:cs="Arial Narrow"/>
                <w:color w:val="000000"/>
                <w:sz w:val="16"/>
                <w:szCs w:val="16"/>
              </w:rPr>
            </w:pPr>
          </w:p>
        </w:tc>
        <w:tc>
          <w:tcPr>
            <w:tcW w:w="810" w:type="dxa"/>
            <w:shd w:val="clear" w:color="auto" w:fill="auto"/>
          </w:tcPr>
          <w:p w14:paraId="2D3257F1" w14:textId="77777777" w:rsidR="0030333D" w:rsidRDefault="0030333D">
            <w:pPr>
              <w:rPr>
                <w:rFonts w:ascii="Arial Narrow" w:eastAsia="Arial Narrow" w:hAnsi="Arial Narrow" w:cs="Arial Narrow"/>
                <w:color w:val="000000"/>
                <w:sz w:val="16"/>
                <w:szCs w:val="16"/>
              </w:rPr>
            </w:pPr>
          </w:p>
        </w:tc>
        <w:tc>
          <w:tcPr>
            <w:tcW w:w="720" w:type="dxa"/>
            <w:shd w:val="clear" w:color="auto" w:fill="EDEDED"/>
          </w:tcPr>
          <w:p w14:paraId="7F647398" w14:textId="77777777" w:rsidR="0030333D" w:rsidRDefault="0030333D">
            <w:pPr>
              <w:rPr>
                <w:rFonts w:ascii="Arial Narrow" w:eastAsia="Arial Narrow" w:hAnsi="Arial Narrow" w:cs="Arial Narrow"/>
                <w:color w:val="000000"/>
                <w:sz w:val="16"/>
                <w:szCs w:val="16"/>
              </w:rPr>
            </w:pPr>
          </w:p>
        </w:tc>
        <w:tc>
          <w:tcPr>
            <w:tcW w:w="630" w:type="dxa"/>
            <w:shd w:val="clear" w:color="auto" w:fill="auto"/>
          </w:tcPr>
          <w:p w14:paraId="4BB38428" w14:textId="77777777" w:rsidR="0030333D" w:rsidRDefault="0030333D">
            <w:pPr>
              <w:rPr>
                <w:rFonts w:ascii="Arial Narrow" w:eastAsia="Arial Narrow" w:hAnsi="Arial Narrow" w:cs="Arial Narrow"/>
                <w:color w:val="000000"/>
                <w:sz w:val="16"/>
                <w:szCs w:val="16"/>
              </w:rPr>
            </w:pPr>
          </w:p>
        </w:tc>
        <w:tc>
          <w:tcPr>
            <w:tcW w:w="630" w:type="dxa"/>
            <w:shd w:val="clear" w:color="auto" w:fill="EDEDED"/>
          </w:tcPr>
          <w:p w14:paraId="40E1C8C6" w14:textId="77777777" w:rsidR="0030333D" w:rsidRDefault="0030333D">
            <w:pPr>
              <w:rPr>
                <w:rFonts w:ascii="Arial Narrow" w:eastAsia="Arial Narrow" w:hAnsi="Arial Narrow" w:cs="Arial Narrow"/>
                <w:color w:val="000000"/>
                <w:sz w:val="16"/>
                <w:szCs w:val="16"/>
              </w:rPr>
            </w:pPr>
          </w:p>
        </w:tc>
        <w:tc>
          <w:tcPr>
            <w:tcW w:w="778" w:type="dxa"/>
            <w:shd w:val="clear" w:color="auto" w:fill="auto"/>
          </w:tcPr>
          <w:p w14:paraId="30E03064" w14:textId="77777777" w:rsidR="0030333D" w:rsidRDefault="0030333D">
            <w:pPr>
              <w:rPr>
                <w:rFonts w:ascii="Arial Narrow" w:eastAsia="Arial Narrow" w:hAnsi="Arial Narrow" w:cs="Arial Narrow"/>
                <w:color w:val="000000"/>
                <w:sz w:val="16"/>
                <w:szCs w:val="16"/>
              </w:rPr>
            </w:pPr>
          </w:p>
        </w:tc>
        <w:tc>
          <w:tcPr>
            <w:tcW w:w="720" w:type="dxa"/>
            <w:shd w:val="clear" w:color="auto" w:fill="EDEDED"/>
          </w:tcPr>
          <w:p w14:paraId="23AD4BB7" w14:textId="77777777" w:rsidR="0030333D" w:rsidRDefault="0030333D">
            <w:pPr>
              <w:rPr>
                <w:rFonts w:ascii="Arial Narrow" w:eastAsia="Arial Narrow" w:hAnsi="Arial Narrow" w:cs="Arial Narrow"/>
                <w:color w:val="000000"/>
                <w:sz w:val="16"/>
                <w:szCs w:val="16"/>
              </w:rPr>
            </w:pPr>
          </w:p>
        </w:tc>
        <w:tc>
          <w:tcPr>
            <w:tcW w:w="691" w:type="dxa"/>
            <w:shd w:val="clear" w:color="auto" w:fill="auto"/>
          </w:tcPr>
          <w:p w14:paraId="4A3E67B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5.95**</w:t>
            </w:r>
          </w:p>
          <w:p w14:paraId="571DFF8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(2.79)</w:t>
            </w:r>
          </w:p>
        </w:tc>
        <w:tc>
          <w:tcPr>
            <w:tcW w:w="601" w:type="dxa"/>
            <w:shd w:val="clear" w:color="auto" w:fill="EDEDED"/>
          </w:tcPr>
          <w:p w14:paraId="34E16172" w14:textId="77777777" w:rsidR="0030333D" w:rsidRDefault="0030333D">
            <w:pPr>
              <w:rPr>
                <w:rFonts w:ascii="Arial Narrow" w:eastAsia="Arial Narrow" w:hAnsi="Arial Narrow" w:cs="Arial Narrow"/>
                <w:color w:val="000000"/>
                <w:sz w:val="16"/>
                <w:szCs w:val="16"/>
              </w:rPr>
            </w:pPr>
          </w:p>
        </w:tc>
        <w:tc>
          <w:tcPr>
            <w:tcW w:w="691" w:type="dxa"/>
            <w:shd w:val="clear" w:color="auto" w:fill="auto"/>
          </w:tcPr>
          <w:p w14:paraId="4564261C" w14:textId="77777777" w:rsidR="0030333D" w:rsidRDefault="0030333D">
            <w:pPr>
              <w:rPr>
                <w:rFonts w:ascii="Arial Narrow" w:eastAsia="Arial Narrow" w:hAnsi="Arial Narrow" w:cs="Arial Narrow"/>
                <w:color w:val="000000"/>
                <w:sz w:val="16"/>
                <w:szCs w:val="16"/>
              </w:rPr>
            </w:pPr>
          </w:p>
        </w:tc>
        <w:tc>
          <w:tcPr>
            <w:tcW w:w="691" w:type="dxa"/>
            <w:shd w:val="clear" w:color="auto" w:fill="EDEDED"/>
          </w:tcPr>
          <w:p w14:paraId="2E16D5E4" w14:textId="77777777" w:rsidR="0030333D" w:rsidRDefault="0030333D">
            <w:pPr>
              <w:rPr>
                <w:rFonts w:ascii="Arial Narrow" w:eastAsia="Arial Narrow" w:hAnsi="Arial Narrow" w:cs="Arial Narrow"/>
                <w:color w:val="000000"/>
                <w:sz w:val="16"/>
                <w:szCs w:val="16"/>
              </w:rPr>
            </w:pPr>
          </w:p>
        </w:tc>
      </w:tr>
      <w:tr w:rsidR="0030333D" w14:paraId="79B30473" w14:textId="77777777">
        <w:trPr>
          <w:trHeight w:val="648"/>
        </w:trPr>
        <w:tc>
          <w:tcPr>
            <w:tcW w:w="987" w:type="dxa"/>
            <w:shd w:val="clear" w:color="auto" w:fill="auto"/>
          </w:tcPr>
          <w:p w14:paraId="6AD6303E" w14:textId="77777777" w:rsidR="0030333D" w:rsidRDefault="00000000">
            <w:pPr>
              <w:rPr>
                <w:rFonts w:ascii="Times New Roman" w:eastAsia="Times New Roman" w:hAnsi="Times New Roman" w:cs="Times New Roman"/>
                <w:color w:val="000000"/>
                <w:sz w:val="18"/>
                <w:szCs w:val="18"/>
              </w:rPr>
            </w:pPr>
            <w:r>
              <w:rPr>
                <w:rFonts w:ascii="Times New Roman" w:eastAsia="Times New Roman" w:hAnsi="Times New Roman" w:cs="Times New Roman"/>
                <w:sz w:val="18"/>
                <w:szCs w:val="18"/>
              </w:rPr>
              <w:t>Home-country SDG Score</w:t>
            </w:r>
          </w:p>
        </w:tc>
        <w:tc>
          <w:tcPr>
            <w:tcW w:w="691" w:type="dxa"/>
            <w:shd w:val="clear" w:color="auto" w:fill="EDEDED"/>
          </w:tcPr>
          <w:p w14:paraId="36059A82"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-0.24***</w:t>
            </w:r>
          </w:p>
          <w:p w14:paraId="10053AE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(0.088)</w:t>
            </w:r>
          </w:p>
        </w:tc>
        <w:tc>
          <w:tcPr>
            <w:tcW w:w="691" w:type="dxa"/>
            <w:shd w:val="clear" w:color="auto" w:fill="auto"/>
          </w:tcPr>
          <w:p w14:paraId="33B27DCD"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-0.35***</w:t>
            </w:r>
          </w:p>
          <w:p w14:paraId="6190E3E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(0.12)</w:t>
            </w:r>
          </w:p>
        </w:tc>
        <w:tc>
          <w:tcPr>
            <w:tcW w:w="691" w:type="dxa"/>
            <w:shd w:val="clear" w:color="auto" w:fill="EDEDED"/>
          </w:tcPr>
          <w:p w14:paraId="0E852616"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-0.21**</w:t>
            </w:r>
          </w:p>
          <w:p w14:paraId="2512E0C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(0.09)</w:t>
            </w:r>
          </w:p>
        </w:tc>
        <w:tc>
          <w:tcPr>
            <w:tcW w:w="691" w:type="dxa"/>
            <w:shd w:val="clear" w:color="auto" w:fill="auto"/>
          </w:tcPr>
          <w:p w14:paraId="6046E4E6"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-0.25*</w:t>
            </w:r>
          </w:p>
          <w:p w14:paraId="1AC82FE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(0.15)</w:t>
            </w:r>
          </w:p>
        </w:tc>
        <w:tc>
          <w:tcPr>
            <w:tcW w:w="691" w:type="dxa"/>
            <w:shd w:val="clear" w:color="auto" w:fill="EDEDED"/>
          </w:tcPr>
          <w:p w14:paraId="0CE1D34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-0.11**</w:t>
            </w:r>
          </w:p>
          <w:p w14:paraId="4E7262D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(0.04)</w:t>
            </w:r>
          </w:p>
        </w:tc>
        <w:tc>
          <w:tcPr>
            <w:tcW w:w="685" w:type="dxa"/>
            <w:shd w:val="clear" w:color="auto" w:fill="auto"/>
          </w:tcPr>
          <w:p w14:paraId="1547BAF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-0.44***</w:t>
            </w:r>
          </w:p>
          <w:p w14:paraId="7BDC40D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(0.16)</w:t>
            </w:r>
          </w:p>
        </w:tc>
        <w:tc>
          <w:tcPr>
            <w:tcW w:w="720" w:type="dxa"/>
            <w:shd w:val="clear" w:color="auto" w:fill="EDEDED"/>
          </w:tcPr>
          <w:p w14:paraId="4BAF566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-0.24</w:t>
            </w:r>
          </w:p>
          <w:p w14:paraId="2092D4E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(0.19)</w:t>
            </w:r>
          </w:p>
        </w:tc>
        <w:tc>
          <w:tcPr>
            <w:tcW w:w="810" w:type="dxa"/>
            <w:shd w:val="clear" w:color="auto" w:fill="auto"/>
          </w:tcPr>
          <w:p w14:paraId="3BFDBAA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-0.07</w:t>
            </w:r>
          </w:p>
          <w:p w14:paraId="0FEF006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(0.22)</w:t>
            </w:r>
          </w:p>
        </w:tc>
        <w:tc>
          <w:tcPr>
            <w:tcW w:w="720" w:type="dxa"/>
            <w:shd w:val="clear" w:color="auto" w:fill="EDEDED"/>
          </w:tcPr>
          <w:p w14:paraId="5EF001F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-0.07</w:t>
            </w:r>
          </w:p>
          <w:p w14:paraId="3887DBD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(0.05)</w:t>
            </w:r>
          </w:p>
        </w:tc>
        <w:tc>
          <w:tcPr>
            <w:tcW w:w="630" w:type="dxa"/>
            <w:shd w:val="clear" w:color="auto" w:fill="auto"/>
          </w:tcPr>
          <w:p w14:paraId="4F0A682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-0.04</w:t>
            </w:r>
          </w:p>
          <w:p w14:paraId="5D4B7DB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(0.03)</w:t>
            </w:r>
          </w:p>
        </w:tc>
        <w:tc>
          <w:tcPr>
            <w:tcW w:w="630" w:type="dxa"/>
            <w:shd w:val="clear" w:color="auto" w:fill="EDEDED"/>
          </w:tcPr>
          <w:p w14:paraId="3422702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-0.22***</w:t>
            </w:r>
          </w:p>
          <w:p w14:paraId="28357B7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(0.07)</w:t>
            </w:r>
          </w:p>
        </w:tc>
        <w:tc>
          <w:tcPr>
            <w:tcW w:w="778" w:type="dxa"/>
            <w:shd w:val="clear" w:color="auto" w:fill="auto"/>
          </w:tcPr>
          <w:p w14:paraId="26CF0C6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0.18***</w:t>
            </w:r>
          </w:p>
          <w:p w14:paraId="701C9D4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(0.06)</w:t>
            </w:r>
          </w:p>
        </w:tc>
        <w:tc>
          <w:tcPr>
            <w:tcW w:w="720" w:type="dxa"/>
            <w:shd w:val="clear" w:color="auto" w:fill="EDEDED"/>
          </w:tcPr>
          <w:p w14:paraId="14CA3A9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-0.13</w:t>
            </w:r>
          </w:p>
          <w:p w14:paraId="2D3629CA"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(0.14)</w:t>
            </w:r>
          </w:p>
        </w:tc>
        <w:tc>
          <w:tcPr>
            <w:tcW w:w="691" w:type="dxa"/>
            <w:shd w:val="clear" w:color="auto" w:fill="auto"/>
          </w:tcPr>
          <w:p w14:paraId="11EE050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-0.02</w:t>
            </w:r>
          </w:p>
          <w:p w14:paraId="73446EF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(0.06)</w:t>
            </w:r>
          </w:p>
        </w:tc>
        <w:tc>
          <w:tcPr>
            <w:tcW w:w="601" w:type="dxa"/>
            <w:shd w:val="clear" w:color="auto" w:fill="EDEDED"/>
          </w:tcPr>
          <w:p w14:paraId="23617F6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-0.14**</w:t>
            </w:r>
          </w:p>
          <w:p w14:paraId="6E624AF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(0.06)</w:t>
            </w:r>
          </w:p>
        </w:tc>
        <w:tc>
          <w:tcPr>
            <w:tcW w:w="691" w:type="dxa"/>
            <w:shd w:val="clear" w:color="auto" w:fill="auto"/>
          </w:tcPr>
          <w:p w14:paraId="4BE1F14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-0.14***</w:t>
            </w:r>
          </w:p>
          <w:p w14:paraId="35F299E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(0.06)</w:t>
            </w:r>
          </w:p>
        </w:tc>
        <w:tc>
          <w:tcPr>
            <w:tcW w:w="691" w:type="dxa"/>
            <w:shd w:val="clear" w:color="auto" w:fill="EDEDED"/>
          </w:tcPr>
          <w:p w14:paraId="3706C34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-0.04</w:t>
            </w:r>
          </w:p>
          <w:p w14:paraId="197D5F0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(0.05)</w:t>
            </w:r>
          </w:p>
        </w:tc>
      </w:tr>
      <w:tr w:rsidR="0030333D" w14:paraId="6013C88F" w14:textId="77777777">
        <w:trPr>
          <w:trHeight w:val="461"/>
        </w:trPr>
        <w:tc>
          <w:tcPr>
            <w:tcW w:w="987" w:type="dxa"/>
            <w:shd w:val="clear" w:color="auto" w:fill="auto"/>
          </w:tcPr>
          <w:p w14:paraId="63BEB479" w14:textId="77777777" w:rsidR="0030333D" w:rsidRDefault="00000000">
            <w:pPr>
              <w:rPr>
                <w:rFonts w:ascii="Times New Roman" w:eastAsia="Times New Roman" w:hAnsi="Times New Roman" w:cs="Times New Roman"/>
                <w:b/>
                <w:color w:val="000000"/>
                <w:sz w:val="18"/>
                <w:szCs w:val="18"/>
              </w:rPr>
            </w:pPr>
            <w:r>
              <w:rPr>
                <w:rFonts w:ascii="Times New Roman" w:eastAsia="Times New Roman" w:hAnsi="Times New Roman" w:cs="Times New Roman"/>
                <w:sz w:val="18"/>
                <w:szCs w:val="18"/>
              </w:rPr>
              <w:t>Geo A-S</w:t>
            </w:r>
          </w:p>
        </w:tc>
        <w:tc>
          <w:tcPr>
            <w:tcW w:w="691" w:type="dxa"/>
            <w:shd w:val="clear" w:color="auto" w:fill="EDEDED"/>
          </w:tcPr>
          <w:p w14:paraId="261E7A2C" w14:textId="77777777" w:rsidR="0030333D" w:rsidRDefault="0030333D">
            <w:pPr>
              <w:rPr>
                <w:rFonts w:ascii="Arial Narrow" w:eastAsia="Arial Narrow" w:hAnsi="Arial Narrow" w:cs="Arial Narrow"/>
                <w:color w:val="000000"/>
                <w:sz w:val="16"/>
                <w:szCs w:val="16"/>
              </w:rPr>
            </w:pPr>
          </w:p>
        </w:tc>
        <w:tc>
          <w:tcPr>
            <w:tcW w:w="691" w:type="dxa"/>
            <w:shd w:val="clear" w:color="auto" w:fill="auto"/>
          </w:tcPr>
          <w:p w14:paraId="7A41B941" w14:textId="77777777" w:rsidR="0030333D" w:rsidRDefault="0030333D">
            <w:pPr>
              <w:rPr>
                <w:rFonts w:ascii="Arial Narrow" w:eastAsia="Arial Narrow" w:hAnsi="Arial Narrow" w:cs="Arial Narrow"/>
                <w:color w:val="000000"/>
                <w:sz w:val="16"/>
                <w:szCs w:val="16"/>
              </w:rPr>
            </w:pPr>
          </w:p>
        </w:tc>
        <w:tc>
          <w:tcPr>
            <w:tcW w:w="691" w:type="dxa"/>
            <w:shd w:val="clear" w:color="auto" w:fill="EDEDED"/>
          </w:tcPr>
          <w:p w14:paraId="466CF98F" w14:textId="77777777" w:rsidR="0030333D" w:rsidRDefault="0030333D">
            <w:pPr>
              <w:rPr>
                <w:rFonts w:ascii="Arial Narrow" w:eastAsia="Arial Narrow" w:hAnsi="Arial Narrow" w:cs="Arial Narrow"/>
                <w:color w:val="000000"/>
                <w:sz w:val="16"/>
                <w:szCs w:val="16"/>
              </w:rPr>
            </w:pPr>
          </w:p>
        </w:tc>
        <w:tc>
          <w:tcPr>
            <w:tcW w:w="691" w:type="dxa"/>
            <w:shd w:val="clear" w:color="auto" w:fill="auto"/>
          </w:tcPr>
          <w:p w14:paraId="5DAEC208" w14:textId="77777777" w:rsidR="0030333D" w:rsidRDefault="0030333D">
            <w:pPr>
              <w:rPr>
                <w:rFonts w:ascii="Arial Narrow" w:eastAsia="Arial Narrow" w:hAnsi="Arial Narrow" w:cs="Arial Narrow"/>
                <w:color w:val="000000"/>
                <w:sz w:val="16"/>
                <w:szCs w:val="16"/>
              </w:rPr>
            </w:pPr>
          </w:p>
        </w:tc>
        <w:tc>
          <w:tcPr>
            <w:tcW w:w="691" w:type="dxa"/>
            <w:shd w:val="clear" w:color="auto" w:fill="EDEDED"/>
          </w:tcPr>
          <w:p w14:paraId="14569A0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2.45*</w:t>
            </w:r>
          </w:p>
          <w:p w14:paraId="595EDDD2"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(1.47)</w:t>
            </w:r>
          </w:p>
        </w:tc>
        <w:tc>
          <w:tcPr>
            <w:tcW w:w="685" w:type="dxa"/>
            <w:shd w:val="clear" w:color="auto" w:fill="auto"/>
          </w:tcPr>
          <w:p w14:paraId="2770A9BE" w14:textId="77777777" w:rsidR="0030333D" w:rsidRDefault="0030333D">
            <w:pPr>
              <w:rPr>
                <w:rFonts w:ascii="Arial Narrow" w:eastAsia="Arial Narrow" w:hAnsi="Arial Narrow" w:cs="Arial Narrow"/>
                <w:color w:val="000000"/>
                <w:sz w:val="16"/>
                <w:szCs w:val="16"/>
              </w:rPr>
            </w:pPr>
          </w:p>
        </w:tc>
        <w:tc>
          <w:tcPr>
            <w:tcW w:w="720" w:type="dxa"/>
            <w:shd w:val="clear" w:color="auto" w:fill="EDEDED"/>
          </w:tcPr>
          <w:p w14:paraId="282C9971" w14:textId="77777777" w:rsidR="0030333D" w:rsidRDefault="0030333D">
            <w:pPr>
              <w:rPr>
                <w:rFonts w:ascii="Arial Narrow" w:eastAsia="Arial Narrow" w:hAnsi="Arial Narrow" w:cs="Arial Narrow"/>
                <w:color w:val="000000"/>
                <w:sz w:val="16"/>
                <w:szCs w:val="16"/>
              </w:rPr>
            </w:pPr>
          </w:p>
        </w:tc>
        <w:tc>
          <w:tcPr>
            <w:tcW w:w="810" w:type="dxa"/>
            <w:shd w:val="clear" w:color="auto" w:fill="auto"/>
          </w:tcPr>
          <w:p w14:paraId="52075F76"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-1.92</w:t>
            </w:r>
          </w:p>
          <w:p w14:paraId="7FE622C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(1.84)</w:t>
            </w:r>
          </w:p>
        </w:tc>
        <w:tc>
          <w:tcPr>
            <w:tcW w:w="720" w:type="dxa"/>
            <w:shd w:val="clear" w:color="auto" w:fill="EDEDED"/>
          </w:tcPr>
          <w:p w14:paraId="3AD14898" w14:textId="77777777" w:rsidR="0030333D" w:rsidRDefault="0030333D">
            <w:pPr>
              <w:rPr>
                <w:rFonts w:ascii="Arial Narrow" w:eastAsia="Arial Narrow" w:hAnsi="Arial Narrow" w:cs="Arial Narrow"/>
                <w:color w:val="000000"/>
                <w:sz w:val="16"/>
                <w:szCs w:val="16"/>
              </w:rPr>
            </w:pPr>
          </w:p>
        </w:tc>
        <w:tc>
          <w:tcPr>
            <w:tcW w:w="630" w:type="dxa"/>
            <w:shd w:val="clear" w:color="auto" w:fill="auto"/>
          </w:tcPr>
          <w:p w14:paraId="09DAC577" w14:textId="77777777" w:rsidR="0030333D" w:rsidRDefault="0030333D">
            <w:pPr>
              <w:rPr>
                <w:rFonts w:ascii="Arial Narrow" w:eastAsia="Arial Narrow" w:hAnsi="Arial Narrow" w:cs="Arial Narrow"/>
                <w:color w:val="000000"/>
                <w:sz w:val="16"/>
                <w:szCs w:val="16"/>
              </w:rPr>
            </w:pPr>
          </w:p>
        </w:tc>
        <w:tc>
          <w:tcPr>
            <w:tcW w:w="630" w:type="dxa"/>
            <w:shd w:val="clear" w:color="auto" w:fill="EDEDED"/>
          </w:tcPr>
          <w:p w14:paraId="28D61C55" w14:textId="77777777" w:rsidR="0030333D" w:rsidRDefault="0030333D">
            <w:pPr>
              <w:rPr>
                <w:rFonts w:ascii="Arial Narrow" w:eastAsia="Arial Narrow" w:hAnsi="Arial Narrow" w:cs="Arial Narrow"/>
                <w:color w:val="000000"/>
                <w:sz w:val="16"/>
                <w:szCs w:val="16"/>
              </w:rPr>
            </w:pPr>
          </w:p>
        </w:tc>
        <w:tc>
          <w:tcPr>
            <w:tcW w:w="778" w:type="dxa"/>
            <w:shd w:val="clear" w:color="auto" w:fill="auto"/>
          </w:tcPr>
          <w:p w14:paraId="3909A1E6" w14:textId="77777777" w:rsidR="0030333D" w:rsidRDefault="0030333D">
            <w:pPr>
              <w:rPr>
                <w:rFonts w:ascii="Arial Narrow" w:eastAsia="Arial Narrow" w:hAnsi="Arial Narrow" w:cs="Arial Narrow"/>
                <w:color w:val="000000"/>
                <w:sz w:val="16"/>
                <w:szCs w:val="16"/>
              </w:rPr>
            </w:pPr>
          </w:p>
        </w:tc>
        <w:tc>
          <w:tcPr>
            <w:tcW w:w="720" w:type="dxa"/>
            <w:shd w:val="clear" w:color="auto" w:fill="EDEDED"/>
          </w:tcPr>
          <w:p w14:paraId="4194D729" w14:textId="77777777" w:rsidR="0030333D" w:rsidRDefault="0030333D">
            <w:pPr>
              <w:rPr>
                <w:rFonts w:ascii="Arial Narrow" w:eastAsia="Arial Narrow" w:hAnsi="Arial Narrow" w:cs="Arial Narrow"/>
                <w:color w:val="000000"/>
                <w:sz w:val="16"/>
                <w:szCs w:val="16"/>
              </w:rPr>
            </w:pPr>
          </w:p>
        </w:tc>
        <w:tc>
          <w:tcPr>
            <w:tcW w:w="691" w:type="dxa"/>
            <w:shd w:val="clear" w:color="auto" w:fill="auto"/>
          </w:tcPr>
          <w:p w14:paraId="060F1B3C" w14:textId="77777777" w:rsidR="0030333D" w:rsidRDefault="0030333D">
            <w:pPr>
              <w:rPr>
                <w:rFonts w:ascii="Arial Narrow" w:eastAsia="Arial Narrow" w:hAnsi="Arial Narrow" w:cs="Arial Narrow"/>
                <w:color w:val="000000"/>
                <w:sz w:val="16"/>
                <w:szCs w:val="16"/>
              </w:rPr>
            </w:pPr>
          </w:p>
        </w:tc>
        <w:tc>
          <w:tcPr>
            <w:tcW w:w="601" w:type="dxa"/>
            <w:shd w:val="clear" w:color="auto" w:fill="EDEDED"/>
          </w:tcPr>
          <w:p w14:paraId="0C949063" w14:textId="77777777" w:rsidR="0030333D" w:rsidRDefault="0030333D">
            <w:pPr>
              <w:rPr>
                <w:rFonts w:ascii="Arial Narrow" w:eastAsia="Arial Narrow" w:hAnsi="Arial Narrow" w:cs="Arial Narrow"/>
                <w:color w:val="000000"/>
                <w:sz w:val="16"/>
                <w:szCs w:val="16"/>
              </w:rPr>
            </w:pPr>
          </w:p>
        </w:tc>
        <w:tc>
          <w:tcPr>
            <w:tcW w:w="691" w:type="dxa"/>
            <w:shd w:val="clear" w:color="auto" w:fill="auto"/>
          </w:tcPr>
          <w:p w14:paraId="3A73D34C" w14:textId="77777777" w:rsidR="0030333D" w:rsidRDefault="0030333D">
            <w:pPr>
              <w:rPr>
                <w:rFonts w:ascii="Arial Narrow" w:eastAsia="Arial Narrow" w:hAnsi="Arial Narrow" w:cs="Arial Narrow"/>
                <w:color w:val="000000"/>
                <w:sz w:val="16"/>
                <w:szCs w:val="16"/>
              </w:rPr>
            </w:pPr>
          </w:p>
        </w:tc>
        <w:tc>
          <w:tcPr>
            <w:tcW w:w="691" w:type="dxa"/>
            <w:shd w:val="clear" w:color="auto" w:fill="EDEDED"/>
          </w:tcPr>
          <w:p w14:paraId="087DE055" w14:textId="77777777" w:rsidR="0030333D" w:rsidRDefault="0030333D">
            <w:pPr>
              <w:rPr>
                <w:rFonts w:ascii="Arial Narrow" w:eastAsia="Arial Narrow" w:hAnsi="Arial Narrow" w:cs="Arial Narrow"/>
                <w:color w:val="000000"/>
                <w:sz w:val="16"/>
                <w:szCs w:val="16"/>
              </w:rPr>
            </w:pPr>
          </w:p>
        </w:tc>
      </w:tr>
      <w:tr w:rsidR="0030333D" w14:paraId="46ACD61B" w14:textId="77777777">
        <w:trPr>
          <w:trHeight w:val="461"/>
        </w:trPr>
        <w:tc>
          <w:tcPr>
            <w:tcW w:w="987" w:type="dxa"/>
            <w:shd w:val="clear" w:color="auto" w:fill="auto"/>
          </w:tcPr>
          <w:p w14:paraId="7202122D" w14:textId="77777777" w:rsidR="0030333D" w:rsidRDefault="00000000">
            <w:pPr>
              <w:rPr>
                <w:rFonts w:ascii="Times New Roman" w:eastAsia="Times New Roman" w:hAnsi="Times New Roman" w:cs="Times New Roman"/>
                <w:b/>
                <w:color w:val="000000"/>
                <w:sz w:val="18"/>
                <w:szCs w:val="18"/>
              </w:rPr>
            </w:pPr>
            <w:r>
              <w:rPr>
                <w:rFonts w:ascii="Times New Roman" w:eastAsia="Times New Roman" w:hAnsi="Times New Roman" w:cs="Times New Roman"/>
                <w:sz w:val="18"/>
                <w:szCs w:val="18"/>
              </w:rPr>
              <w:t>Geo A-P</w:t>
            </w:r>
          </w:p>
        </w:tc>
        <w:tc>
          <w:tcPr>
            <w:tcW w:w="691" w:type="dxa"/>
            <w:shd w:val="clear" w:color="auto" w:fill="EDEDED"/>
          </w:tcPr>
          <w:p w14:paraId="54804EB1"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-3.34***</w:t>
            </w:r>
          </w:p>
          <w:p w14:paraId="5957D05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(1.23)</w:t>
            </w:r>
          </w:p>
        </w:tc>
        <w:tc>
          <w:tcPr>
            <w:tcW w:w="691" w:type="dxa"/>
            <w:shd w:val="clear" w:color="auto" w:fill="auto"/>
          </w:tcPr>
          <w:p w14:paraId="18E1677D"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-3.71</w:t>
            </w:r>
          </w:p>
          <w:p w14:paraId="1A4BE8E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(2.57)</w:t>
            </w:r>
          </w:p>
        </w:tc>
        <w:tc>
          <w:tcPr>
            <w:tcW w:w="691" w:type="dxa"/>
            <w:shd w:val="clear" w:color="auto" w:fill="EDEDED"/>
          </w:tcPr>
          <w:p w14:paraId="6D31914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-5.03**</w:t>
            </w:r>
          </w:p>
          <w:p w14:paraId="219EF13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(2.13)</w:t>
            </w:r>
          </w:p>
        </w:tc>
        <w:tc>
          <w:tcPr>
            <w:tcW w:w="691" w:type="dxa"/>
            <w:shd w:val="clear" w:color="auto" w:fill="auto"/>
          </w:tcPr>
          <w:p w14:paraId="69997DA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-1.76</w:t>
            </w:r>
          </w:p>
          <w:p w14:paraId="4076A7B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(2.04)</w:t>
            </w:r>
          </w:p>
        </w:tc>
        <w:tc>
          <w:tcPr>
            <w:tcW w:w="691" w:type="dxa"/>
            <w:shd w:val="clear" w:color="auto" w:fill="EDEDED"/>
          </w:tcPr>
          <w:p w14:paraId="230C0F56"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-5.20***</w:t>
            </w:r>
          </w:p>
          <w:p w14:paraId="20B52E8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(1.25)</w:t>
            </w:r>
          </w:p>
        </w:tc>
        <w:tc>
          <w:tcPr>
            <w:tcW w:w="685" w:type="dxa"/>
            <w:shd w:val="clear" w:color="auto" w:fill="auto"/>
          </w:tcPr>
          <w:p w14:paraId="61C60A04"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-11.34***</w:t>
            </w:r>
          </w:p>
          <w:p w14:paraId="057B1EA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(3.49)</w:t>
            </w:r>
          </w:p>
        </w:tc>
        <w:tc>
          <w:tcPr>
            <w:tcW w:w="720" w:type="dxa"/>
            <w:shd w:val="clear" w:color="auto" w:fill="EDEDED"/>
          </w:tcPr>
          <w:p w14:paraId="5F53FFC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w:t>
            </w:r>
            <w:r>
              <w:rPr>
                <w:rFonts w:ascii="Arial Narrow" w:eastAsia="Arial Narrow" w:hAnsi="Arial Narrow" w:cs="Arial Narrow"/>
                <w:color w:val="000000"/>
                <w:sz w:val="16"/>
                <w:szCs w:val="16"/>
              </w:rPr>
              <w:t>16.98***</w:t>
            </w:r>
          </w:p>
          <w:p w14:paraId="34875818"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(3.50)</w:t>
            </w:r>
          </w:p>
        </w:tc>
        <w:tc>
          <w:tcPr>
            <w:tcW w:w="810" w:type="dxa"/>
            <w:shd w:val="clear" w:color="auto" w:fill="auto"/>
          </w:tcPr>
          <w:p w14:paraId="474B676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-2.31</w:t>
            </w:r>
          </w:p>
          <w:p w14:paraId="32CB070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(1.98)</w:t>
            </w:r>
          </w:p>
        </w:tc>
        <w:tc>
          <w:tcPr>
            <w:tcW w:w="720" w:type="dxa"/>
            <w:shd w:val="clear" w:color="auto" w:fill="EDEDED"/>
          </w:tcPr>
          <w:p w14:paraId="31DA6AB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-0.85</w:t>
            </w:r>
          </w:p>
          <w:p w14:paraId="233DDFE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(1.89)</w:t>
            </w:r>
          </w:p>
        </w:tc>
        <w:tc>
          <w:tcPr>
            <w:tcW w:w="630" w:type="dxa"/>
            <w:shd w:val="clear" w:color="auto" w:fill="auto"/>
          </w:tcPr>
          <w:p w14:paraId="17C280F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-1.88</w:t>
            </w:r>
          </w:p>
          <w:p w14:paraId="1BD9A55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(1.34)</w:t>
            </w:r>
          </w:p>
        </w:tc>
        <w:tc>
          <w:tcPr>
            <w:tcW w:w="630" w:type="dxa"/>
            <w:shd w:val="clear" w:color="auto" w:fill="EDEDED"/>
          </w:tcPr>
          <w:p w14:paraId="07A819BA"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-2.57</w:t>
            </w:r>
          </w:p>
          <w:p w14:paraId="56EFAD5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(1.72)</w:t>
            </w:r>
          </w:p>
        </w:tc>
        <w:tc>
          <w:tcPr>
            <w:tcW w:w="778" w:type="dxa"/>
            <w:shd w:val="clear" w:color="auto" w:fill="auto"/>
          </w:tcPr>
          <w:p w14:paraId="43DABCD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w:t>
            </w:r>
            <w:r>
              <w:rPr>
                <w:rFonts w:ascii="Arial Narrow" w:eastAsia="Arial Narrow" w:hAnsi="Arial Narrow" w:cs="Arial Narrow"/>
                <w:color w:val="000000"/>
                <w:sz w:val="16"/>
                <w:szCs w:val="16"/>
              </w:rPr>
              <w:t>13.13***</w:t>
            </w:r>
          </w:p>
          <w:p w14:paraId="398BB88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(2.58)</w:t>
            </w:r>
          </w:p>
        </w:tc>
        <w:tc>
          <w:tcPr>
            <w:tcW w:w="720" w:type="dxa"/>
            <w:shd w:val="clear" w:color="auto" w:fill="EDEDED"/>
          </w:tcPr>
          <w:p w14:paraId="4033223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-8.62***</w:t>
            </w:r>
          </w:p>
          <w:p w14:paraId="04B50FB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(2.96)</w:t>
            </w:r>
          </w:p>
        </w:tc>
        <w:tc>
          <w:tcPr>
            <w:tcW w:w="691" w:type="dxa"/>
            <w:shd w:val="clear" w:color="auto" w:fill="auto"/>
          </w:tcPr>
          <w:p w14:paraId="3127E67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-0.97</w:t>
            </w:r>
          </w:p>
          <w:p w14:paraId="62C17C62"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(1.41)</w:t>
            </w:r>
          </w:p>
        </w:tc>
        <w:tc>
          <w:tcPr>
            <w:tcW w:w="601" w:type="dxa"/>
            <w:shd w:val="clear" w:color="auto" w:fill="EDEDED"/>
          </w:tcPr>
          <w:p w14:paraId="33CD9FE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-3.66*</w:t>
            </w:r>
          </w:p>
          <w:p w14:paraId="727D4F9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(1.92)</w:t>
            </w:r>
          </w:p>
        </w:tc>
        <w:tc>
          <w:tcPr>
            <w:tcW w:w="691" w:type="dxa"/>
            <w:shd w:val="clear" w:color="auto" w:fill="auto"/>
          </w:tcPr>
          <w:p w14:paraId="4C64384A"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-2.59**</w:t>
            </w:r>
          </w:p>
          <w:p w14:paraId="3BD04B4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(1.29)</w:t>
            </w:r>
          </w:p>
        </w:tc>
        <w:tc>
          <w:tcPr>
            <w:tcW w:w="691" w:type="dxa"/>
            <w:shd w:val="clear" w:color="auto" w:fill="EDEDED"/>
          </w:tcPr>
          <w:p w14:paraId="40E46E7B"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-2.01</w:t>
            </w:r>
          </w:p>
          <w:p w14:paraId="166F4B6A"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(1.81)</w:t>
            </w:r>
          </w:p>
        </w:tc>
      </w:tr>
      <w:tr w:rsidR="0030333D" w14:paraId="3707BBA9" w14:textId="77777777">
        <w:trPr>
          <w:trHeight w:val="461"/>
        </w:trPr>
        <w:tc>
          <w:tcPr>
            <w:tcW w:w="987" w:type="dxa"/>
            <w:tcBorders>
              <w:bottom w:val="single" w:sz="4" w:space="0" w:color="000000"/>
            </w:tcBorders>
            <w:shd w:val="clear" w:color="auto" w:fill="auto"/>
          </w:tcPr>
          <w:p w14:paraId="6F9EB747" w14:textId="77777777" w:rsidR="0030333D" w:rsidRDefault="00000000">
            <w:pPr>
              <w:rPr>
                <w:rFonts w:ascii="Times New Roman" w:eastAsia="Times New Roman" w:hAnsi="Times New Roman" w:cs="Times New Roman"/>
                <w:b/>
                <w:color w:val="000000"/>
                <w:sz w:val="18"/>
                <w:szCs w:val="18"/>
              </w:rPr>
            </w:pPr>
            <w:r>
              <w:rPr>
                <w:rFonts w:ascii="Times New Roman" w:eastAsia="Times New Roman" w:hAnsi="Times New Roman" w:cs="Times New Roman"/>
                <w:sz w:val="18"/>
                <w:szCs w:val="18"/>
              </w:rPr>
              <w:t>Geo C-E</w:t>
            </w:r>
          </w:p>
        </w:tc>
        <w:tc>
          <w:tcPr>
            <w:tcW w:w="691" w:type="dxa"/>
            <w:tcBorders>
              <w:bottom w:val="single" w:sz="4" w:space="0" w:color="000000"/>
            </w:tcBorders>
            <w:shd w:val="clear" w:color="auto" w:fill="EDEDED"/>
          </w:tcPr>
          <w:p w14:paraId="36EA0718"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.94</w:t>
            </w:r>
          </w:p>
          <w:p w14:paraId="4B1EF79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(1.22)</w:t>
            </w:r>
          </w:p>
        </w:tc>
        <w:tc>
          <w:tcPr>
            <w:tcW w:w="691" w:type="dxa"/>
            <w:tcBorders>
              <w:bottom w:val="single" w:sz="4" w:space="0" w:color="000000"/>
            </w:tcBorders>
            <w:shd w:val="clear" w:color="auto" w:fill="auto"/>
          </w:tcPr>
          <w:p w14:paraId="7E0C32F7" w14:textId="77777777" w:rsidR="0030333D" w:rsidRDefault="00000000">
            <w:pPr>
              <w:rPr>
                <w:rFonts w:ascii="Arial Narrow" w:eastAsia="Arial Narrow" w:hAnsi="Arial Narrow" w:cs="Arial Narrow"/>
                <w:sz w:val="16"/>
                <w:szCs w:val="16"/>
              </w:rPr>
            </w:pPr>
            <w:r>
              <w:rPr>
                <w:rFonts w:ascii="Arial Narrow" w:eastAsia="Arial Narrow" w:hAnsi="Arial Narrow" w:cs="Arial Narrow"/>
                <w:sz w:val="16"/>
                <w:szCs w:val="16"/>
              </w:rPr>
              <w:t>0.76</w:t>
            </w:r>
          </w:p>
          <w:p w14:paraId="350C1DE6"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sz w:val="16"/>
                <w:szCs w:val="16"/>
              </w:rPr>
              <w:t>(1.70)</w:t>
            </w:r>
          </w:p>
        </w:tc>
        <w:tc>
          <w:tcPr>
            <w:tcW w:w="691" w:type="dxa"/>
            <w:tcBorders>
              <w:bottom w:val="single" w:sz="4" w:space="0" w:color="000000"/>
            </w:tcBorders>
            <w:shd w:val="clear" w:color="auto" w:fill="EDEDED"/>
          </w:tcPr>
          <w:p w14:paraId="2CE3D740"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-1.63</w:t>
            </w:r>
          </w:p>
          <w:p w14:paraId="3BC56BC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(2.56)</w:t>
            </w:r>
          </w:p>
        </w:tc>
        <w:tc>
          <w:tcPr>
            <w:tcW w:w="691" w:type="dxa"/>
            <w:tcBorders>
              <w:bottom w:val="single" w:sz="4" w:space="0" w:color="000000"/>
            </w:tcBorders>
            <w:shd w:val="clear" w:color="auto" w:fill="auto"/>
          </w:tcPr>
          <w:p w14:paraId="1FC537C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-1.01</w:t>
            </w:r>
          </w:p>
          <w:p w14:paraId="6BF93F0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(1.79)</w:t>
            </w:r>
          </w:p>
        </w:tc>
        <w:tc>
          <w:tcPr>
            <w:tcW w:w="691" w:type="dxa"/>
            <w:tcBorders>
              <w:bottom w:val="single" w:sz="4" w:space="0" w:color="000000"/>
            </w:tcBorders>
            <w:shd w:val="clear" w:color="auto" w:fill="EDEDED"/>
          </w:tcPr>
          <w:p w14:paraId="53F4E8A8" w14:textId="77777777" w:rsidR="0030333D" w:rsidRDefault="0030333D">
            <w:pPr>
              <w:rPr>
                <w:rFonts w:ascii="Arial Narrow" w:eastAsia="Arial Narrow" w:hAnsi="Arial Narrow" w:cs="Arial Narrow"/>
                <w:color w:val="000000"/>
                <w:sz w:val="16"/>
                <w:szCs w:val="16"/>
              </w:rPr>
            </w:pPr>
          </w:p>
        </w:tc>
        <w:tc>
          <w:tcPr>
            <w:tcW w:w="685" w:type="dxa"/>
            <w:tcBorders>
              <w:bottom w:val="single" w:sz="4" w:space="0" w:color="000000"/>
            </w:tcBorders>
            <w:shd w:val="clear" w:color="auto" w:fill="auto"/>
          </w:tcPr>
          <w:p w14:paraId="758E5683"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-9.84***</w:t>
            </w:r>
          </w:p>
          <w:p w14:paraId="7099C57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(3.58)</w:t>
            </w:r>
          </w:p>
        </w:tc>
        <w:tc>
          <w:tcPr>
            <w:tcW w:w="720" w:type="dxa"/>
            <w:tcBorders>
              <w:bottom w:val="single" w:sz="4" w:space="0" w:color="000000"/>
            </w:tcBorders>
            <w:shd w:val="clear" w:color="auto" w:fill="EDEDED"/>
          </w:tcPr>
          <w:p w14:paraId="563A4DC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-6.96*</w:t>
            </w:r>
          </w:p>
          <w:p w14:paraId="15C7F2B7"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(4.00)</w:t>
            </w:r>
          </w:p>
        </w:tc>
        <w:tc>
          <w:tcPr>
            <w:tcW w:w="810" w:type="dxa"/>
            <w:tcBorders>
              <w:bottom w:val="single" w:sz="4" w:space="0" w:color="000000"/>
            </w:tcBorders>
            <w:shd w:val="clear" w:color="auto" w:fill="auto"/>
          </w:tcPr>
          <w:p w14:paraId="32B71B44" w14:textId="77777777" w:rsidR="0030333D" w:rsidRDefault="0030333D">
            <w:pPr>
              <w:rPr>
                <w:rFonts w:ascii="Arial Narrow" w:eastAsia="Arial Narrow" w:hAnsi="Arial Narrow" w:cs="Arial Narrow"/>
                <w:color w:val="000000"/>
                <w:sz w:val="16"/>
                <w:szCs w:val="16"/>
              </w:rPr>
            </w:pPr>
          </w:p>
        </w:tc>
        <w:tc>
          <w:tcPr>
            <w:tcW w:w="720" w:type="dxa"/>
            <w:tcBorders>
              <w:bottom w:val="single" w:sz="4" w:space="0" w:color="000000"/>
            </w:tcBorders>
            <w:shd w:val="clear" w:color="auto" w:fill="EDEDED"/>
          </w:tcPr>
          <w:p w14:paraId="359DCFC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3.83**</w:t>
            </w:r>
          </w:p>
          <w:p w14:paraId="0239CBFC"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(1.93)</w:t>
            </w:r>
          </w:p>
        </w:tc>
        <w:tc>
          <w:tcPr>
            <w:tcW w:w="630" w:type="dxa"/>
            <w:tcBorders>
              <w:bottom w:val="single" w:sz="4" w:space="0" w:color="000000"/>
            </w:tcBorders>
            <w:shd w:val="clear" w:color="auto" w:fill="auto"/>
          </w:tcPr>
          <w:p w14:paraId="7E53343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1.05</w:t>
            </w:r>
          </w:p>
          <w:p w14:paraId="590758F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(1.41)</w:t>
            </w:r>
          </w:p>
        </w:tc>
        <w:tc>
          <w:tcPr>
            <w:tcW w:w="630" w:type="dxa"/>
            <w:tcBorders>
              <w:bottom w:val="single" w:sz="4" w:space="0" w:color="000000"/>
            </w:tcBorders>
            <w:shd w:val="clear" w:color="auto" w:fill="EDEDED"/>
          </w:tcPr>
          <w:p w14:paraId="09EC8F4A"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-1.48</w:t>
            </w:r>
          </w:p>
          <w:p w14:paraId="5341CD05"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(1.64)</w:t>
            </w:r>
          </w:p>
        </w:tc>
        <w:tc>
          <w:tcPr>
            <w:tcW w:w="778" w:type="dxa"/>
            <w:tcBorders>
              <w:bottom w:val="single" w:sz="4" w:space="0" w:color="000000"/>
            </w:tcBorders>
            <w:shd w:val="clear" w:color="auto" w:fill="auto"/>
          </w:tcPr>
          <w:p w14:paraId="1E63091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-6.35**</w:t>
            </w:r>
          </w:p>
          <w:p w14:paraId="585F994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(2.68)</w:t>
            </w:r>
          </w:p>
        </w:tc>
        <w:tc>
          <w:tcPr>
            <w:tcW w:w="720" w:type="dxa"/>
            <w:tcBorders>
              <w:bottom w:val="single" w:sz="4" w:space="0" w:color="000000"/>
            </w:tcBorders>
            <w:shd w:val="clear" w:color="auto" w:fill="EDEDED"/>
          </w:tcPr>
          <w:p w14:paraId="668748C6"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-2.79</w:t>
            </w:r>
          </w:p>
          <w:p w14:paraId="6EFFBEE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(2.53)</w:t>
            </w:r>
          </w:p>
        </w:tc>
        <w:tc>
          <w:tcPr>
            <w:tcW w:w="691" w:type="dxa"/>
            <w:tcBorders>
              <w:bottom w:val="single" w:sz="4" w:space="0" w:color="000000"/>
            </w:tcBorders>
            <w:shd w:val="clear" w:color="auto" w:fill="auto"/>
          </w:tcPr>
          <w:p w14:paraId="644C729F"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-1.29</w:t>
            </w:r>
          </w:p>
          <w:p w14:paraId="63D62696"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(1.44)</w:t>
            </w:r>
          </w:p>
        </w:tc>
        <w:tc>
          <w:tcPr>
            <w:tcW w:w="601" w:type="dxa"/>
            <w:tcBorders>
              <w:bottom w:val="single" w:sz="4" w:space="0" w:color="000000"/>
            </w:tcBorders>
            <w:shd w:val="clear" w:color="auto" w:fill="EDEDED"/>
          </w:tcPr>
          <w:p w14:paraId="299326C1"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-2.78*</w:t>
            </w:r>
          </w:p>
          <w:p w14:paraId="0D4280E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(1.46)</w:t>
            </w:r>
          </w:p>
        </w:tc>
        <w:tc>
          <w:tcPr>
            <w:tcW w:w="691" w:type="dxa"/>
            <w:tcBorders>
              <w:bottom w:val="single" w:sz="4" w:space="0" w:color="000000"/>
            </w:tcBorders>
            <w:shd w:val="clear" w:color="auto" w:fill="auto"/>
          </w:tcPr>
          <w:p w14:paraId="4B58AA29"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2.21*</w:t>
            </w:r>
          </w:p>
          <w:p w14:paraId="2384CB3A"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(1.31)</w:t>
            </w:r>
          </w:p>
        </w:tc>
        <w:tc>
          <w:tcPr>
            <w:tcW w:w="691" w:type="dxa"/>
            <w:tcBorders>
              <w:bottom w:val="single" w:sz="4" w:space="0" w:color="000000"/>
            </w:tcBorders>
            <w:shd w:val="clear" w:color="auto" w:fill="EDEDED"/>
          </w:tcPr>
          <w:p w14:paraId="38752BDD"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1.38</w:t>
            </w:r>
          </w:p>
          <w:p w14:paraId="0220952E" w14:textId="77777777" w:rsidR="0030333D" w:rsidRDefault="00000000">
            <w:pP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(1.89)</w:t>
            </w:r>
          </w:p>
        </w:tc>
      </w:tr>
    </w:tbl>
    <w:p w14:paraId="3EB713D8" w14:textId="77777777" w:rsidR="0030333D" w:rsidRDefault="00000000">
      <w:pPr>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Dependent variable: Firm language alignment to individual SDG. Robust standard errors (clustered at company level) are in parenthesis. Levels of significance: </w:t>
      </w:r>
      <w:r>
        <w:rPr>
          <w:rFonts w:ascii="Times New Roman" w:eastAsia="Times New Roman" w:hAnsi="Times New Roman" w:cs="Times New Roman"/>
          <w:b/>
          <w:sz w:val="16"/>
          <w:szCs w:val="16"/>
        </w:rPr>
        <w:t xml:space="preserve">* p &lt; 0.10; </w:t>
      </w:r>
      <w:r>
        <w:rPr>
          <w:rFonts w:ascii="Times New Roman" w:eastAsia="Times New Roman" w:hAnsi="Times New Roman" w:cs="Times New Roman"/>
          <w:b/>
          <w:color w:val="000000"/>
          <w:sz w:val="16"/>
          <w:szCs w:val="16"/>
        </w:rPr>
        <w:t>**</w:t>
      </w:r>
      <w:r>
        <w:rPr>
          <w:rFonts w:ascii="Times New Roman" w:eastAsia="Times New Roman" w:hAnsi="Times New Roman" w:cs="Times New Roman"/>
          <w:b/>
          <w:sz w:val="16"/>
          <w:szCs w:val="16"/>
        </w:rPr>
        <w:t xml:space="preserve"> p &lt; 0.05; </w:t>
      </w:r>
      <w:r>
        <w:rPr>
          <w:rFonts w:ascii="Times New Roman" w:eastAsia="Times New Roman" w:hAnsi="Times New Roman" w:cs="Times New Roman"/>
          <w:b/>
          <w:color w:val="000000"/>
          <w:sz w:val="16"/>
          <w:szCs w:val="16"/>
        </w:rPr>
        <w:t>***</w:t>
      </w:r>
      <w:r>
        <w:rPr>
          <w:rFonts w:ascii="Times New Roman" w:eastAsia="Times New Roman" w:hAnsi="Times New Roman" w:cs="Times New Roman"/>
          <w:b/>
          <w:sz w:val="16"/>
          <w:szCs w:val="16"/>
        </w:rPr>
        <w:t xml:space="preserve"> p &lt; 0.01</w:t>
      </w:r>
    </w:p>
    <w:p w14:paraId="108120F6" w14:textId="77777777" w:rsidR="0030333D" w:rsidRDefault="00000000">
      <w:pPr>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Industry Groups (IND): I-M = Industrials-Materials; E-U = Energy-Utilities; CP = Consumer Products; F-R = Financials-Real Estate; C-I = Communications-IT</w:t>
      </w:r>
    </w:p>
    <w:p w14:paraId="44DA2887" w14:textId="77777777" w:rsidR="0030333D" w:rsidRDefault="00000000">
      <w:pPr>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Geo-Institutional Groups (Geo): A-S = Anglo-Saxon; A-P = Asia-Pacific; C-E = Continental European</w:t>
      </w:r>
      <w:r>
        <w:br w:type="page"/>
      </w:r>
    </w:p>
    <w:p w14:paraId="00518E80" w14:textId="77777777" w:rsidR="0030333D" w:rsidRDefault="00000000">
      <w:pPr>
        <w:jc w:val="both"/>
        <w:rPr>
          <w:rFonts w:ascii="Times New Roman" w:eastAsia="Times New Roman" w:hAnsi="Times New Roman" w:cs="Times New Roman"/>
          <w:b/>
        </w:rPr>
      </w:pPr>
      <w:r>
        <w:rPr>
          <w:rFonts w:ascii="Times New Roman" w:eastAsia="Times New Roman" w:hAnsi="Times New Roman" w:cs="Times New Roman"/>
          <w:b/>
        </w:rPr>
        <w:lastRenderedPageBreak/>
        <w:t>Table 7. Result of the regression analysis –Firm SDG alignment vs. Home-country SDG Progress, by Geo-Institutional Group</w:t>
      </w:r>
    </w:p>
    <w:tbl>
      <w:tblPr>
        <w:tblStyle w:val="affffe"/>
        <w:tblW w:w="114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28"/>
        <w:gridCol w:w="628"/>
        <w:gridCol w:w="628"/>
        <w:gridCol w:w="630"/>
        <w:gridCol w:w="630"/>
        <w:gridCol w:w="630"/>
        <w:gridCol w:w="630"/>
        <w:gridCol w:w="630"/>
        <w:gridCol w:w="630"/>
        <w:gridCol w:w="630"/>
        <w:gridCol w:w="630"/>
        <w:gridCol w:w="630"/>
        <w:gridCol w:w="630"/>
        <w:gridCol w:w="630"/>
        <w:gridCol w:w="630"/>
        <w:gridCol w:w="630"/>
        <w:gridCol w:w="630"/>
        <w:gridCol w:w="792"/>
      </w:tblGrid>
      <w:tr w:rsidR="0030333D" w14:paraId="3294F953" w14:textId="77777777">
        <w:trPr>
          <w:trHeight w:val="288"/>
        </w:trPr>
        <w:tc>
          <w:tcPr>
            <w:tcW w:w="628" w:type="dxa"/>
            <w:tcBorders>
              <w:top w:val="single" w:sz="4" w:space="0" w:color="000000"/>
            </w:tcBorders>
            <w:shd w:val="clear" w:color="auto" w:fill="EDEDED"/>
            <w:vAlign w:val="center"/>
          </w:tcPr>
          <w:p w14:paraId="53D4749A" w14:textId="77777777" w:rsidR="0030333D" w:rsidRDefault="00000000">
            <w:pP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SDG1</w:t>
            </w:r>
          </w:p>
        </w:tc>
        <w:tc>
          <w:tcPr>
            <w:tcW w:w="628" w:type="dxa"/>
            <w:tcBorders>
              <w:top w:val="single" w:sz="4" w:space="0" w:color="000000"/>
            </w:tcBorders>
            <w:shd w:val="clear" w:color="auto" w:fill="auto"/>
            <w:vAlign w:val="center"/>
          </w:tcPr>
          <w:p w14:paraId="188A2951" w14:textId="77777777" w:rsidR="0030333D" w:rsidRDefault="00000000">
            <w:pP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SDG2</w:t>
            </w:r>
          </w:p>
        </w:tc>
        <w:tc>
          <w:tcPr>
            <w:tcW w:w="628" w:type="dxa"/>
            <w:tcBorders>
              <w:top w:val="single" w:sz="4" w:space="0" w:color="000000"/>
            </w:tcBorders>
            <w:shd w:val="clear" w:color="auto" w:fill="EDEDED"/>
            <w:vAlign w:val="center"/>
          </w:tcPr>
          <w:p w14:paraId="075FC379" w14:textId="77777777" w:rsidR="0030333D" w:rsidRDefault="00000000">
            <w:pP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SDG3</w:t>
            </w:r>
          </w:p>
        </w:tc>
        <w:tc>
          <w:tcPr>
            <w:tcW w:w="630" w:type="dxa"/>
            <w:tcBorders>
              <w:top w:val="single" w:sz="4" w:space="0" w:color="000000"/>
            </w:tcBorders>
            <w:shd w:val="clear" w:color="auto" w:fill="auto"/>
            <w:vAlign w:val="center"/>
          </w:tcPr>
          <w:p w14:paraId="7FDAB186" w14:textId="77777777" w:rsidR="0030333D" w:rsidRDefault="00000000">
            <w:pP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SDG4</w:t>
            </w:r>
          </w:p>
        </w:tc>
        <w:tc>
          <w:tcPr>
            <w:tcW w:w="630" w:type="dxa"/>
            <w:tcBorders>
              <w:top w:val="single" w:sz="4" w:space="0" w:color="000000"/>
            </w:tcBorders>
            <w:shd w:val="clear" w:color="auto" w:fill="EDEDED"/>
            <w:vAlign w:val="center"/>
          </w:tcPr>
          <w:p w14:paraId="03D96735" w14:textId="77777777" w:rsidR="0030333D" w:rsidRDefault="00000000">
            <w:pP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SDG5</w:t>
            </w:r>
          </w:p>
        </w:tc>
        <w:tc>
          <w:tcPr>
            <w:tcW w:w="630" w:type="dxa"/>
            <w:tcBorders>
              <w:top w:val="single" w:sz="4" w:space="0" w:color="000000"/>
            </w:tcBorders>
            <w:shd w:val="clear" w:color="auto" w:fill="auto"/>
            <w:vAlign w:val="center"/>
          </w:tcPr>
          <w:p w14:paraId="465903BE" w14:textId="77777777" w:rsidR="0030333D" w:rsidRDefault="00000000">
            <w:pP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SDG6</w:t>
            </w:r>
          </w:p>
        </w:tc>
        <w:tc>
          <w:tcPr>
            <w:tcW w:w="630" w:type="dxa"/>
            <w:tcBorders>
              <w:top w:val="single" w:sz="4" w:space="0" w:color="000000"/>
            </w:tcBorders>
            <w:shd w:val="clear" w:color="auto" w:fill="EDEDED"/>
            <w:vAlign w:val="center"/>
          </w:tcPr>
          <w:p w14:paraId="5FF15F4C" w14:textId="77777777" w:rsidR="0030333D" w:rsidRDefault="00000000">
            <w:pP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SDG7</w:t>
            </w:r>
          </w:p>
        </w:tc>
        <w:tc>
          <w:tcPr>
            <w:tcW w:w="630" w:type="dxa"/>
            <w:tcBorders>
              <w:top w:val="single" w:sz="4" w:space="0" w:color="000000"/>
            </w:tcBorders>
            <w:shd w:val="clear" w:color="auto" w:fill="auto"/>
            <w:vAlign w:val="center"/>
          </w:tcPr>
          <w:p w14:paraId="49E1C731" w14:textId="77777777" w:rsidR="0030333D" w:rsidRDefault="00000000">
            <w:pP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SDG8</w:t>
            </w:r>
          </w:p>
        </w:tc>
        <w:tc>
          <w:tcPr>
            <w:tcW w:w="630" w:type="dxa"/>
            <w:tcBorders>
              <w:top w:val="single" w:sz="4" w:space="0" w:color="000000"/>
            </w:tcBorders>
            <w:shd w:val="clear" w:color="auto" w:fill="EDEDED"/>
            <w:vAlign w:val="center"/>
          </w:tcPr>
          <w:p w14:paraId="75A381CF" w14:textId="77777777" w:rsidR="0030333D" w:rsidRDefault="00000000">
            <w:pP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SDG9</w:t>
            </w:r>
          </w:p>
        </w:tc>
        <w:tc>
          <w:tcPr>
            <w:tcW w:w="630" w:type="dxa"/>
            <w:tcBorders>
              <w:top w:val="single" w:sz="4" w:space="0" w:color="000000"/>
            </w:tcBorders>
            <w:shd w:val="clear" w:color="auto" w:fill="auto"/>
            <w:vAlign w:val="center"/>
          </w:tcPr>
          <w:p w14:paraId="1CB7C854" w14:textId="77777777" w:rsidR="0030333D" w:rsidRDefault="00000000">
            <w:pP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SDG10</w:t>
            </w:r>
          </w:p>
        </w:tc>
        <w:tc>
          <w:tcPr>
            <w:tcW w:w="630" w:type="dxa"/>
            <w:tcBorders>
              <w:top w:val="single" w:sz="4" w:space="0" w:color="000000"/>
            </w:tcBorders>
            <w:shd w:val="clear" w:color="auto" w:fill="EDEDED"/>
            <w:vAlign w:val="center"/>
          </w:tcPr>
          <w:p w14:paraId="518D082B" w14:textId="77777777" w:rsidR="0030333D" w:rsidRDefault="00000000">
            <w:pP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SDG11</w:t>
            </w:r>
          </w:p>
        </w:tc>
        <w:tc>
          <w:tcPr>
            <w:tcW w:w="630" w:type="dxa"/>
            <w:tcBorders>
              <w:top w:val="single" w:sz="4" w:space="0" w:color="000000"/>
            </w:tcBorders>
            <w:shd w:val="clear" w:color="auto" w:fill="auto"/>
            <w:vAlign w:val="center"/>
          </w:tcPr>
          <w:p w14:paraId="2A7F48AB" w14:textId="77777777" w:rsidR="0030333D" w:rsidRDefault="00000000">
            <w:pP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SDG12</w:t>
            </w:r>
          </w:p>
        </w:tc>
        <w:tc>
          <w:tcPr>
            <w:tcW w:w="630" w:type="dxa"/>
            <w:tcBorders>
              <w:top w:val="single" w:sz="4" w:space="0" w:color="000000"/>
            </w:tcBorders>
            <w:shd w:val="clear" w:color="auto" w:fill="EDEDED"/>
            <w:vAlign w:val="center"/>
          </w:tcPr>
          <w:p w14:paraId="701382F0" w14:textId="77777777" w:rsidR="0030333D" w:rsidRDefault="00000000">
            <w:pP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SDG13</w:t>
            </w:r>
          </w:p>
        </w:tc>
        <w:tc>
          <w:tcPr>
            <w:tcW w:w="630" w:type="dxa"/>
            <w:tcBorders>
              <w:top w:val="single" w:sz="4" w:space="0" w:color="000000"/>
            </w:tcBorders>
            <w:shd w:val="clear" w:color="auto" w:fill="auto"/>
            <w:vAlign w:val="center"/>
          </w:tcPr>
          <w:p w14:paraId="37932195" w14:textId="77777777" w:rsidR="0030333D" w:rsidRDefault="00000000">
            <w:pP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SDG14</w:t>
            </w:r>
          </w:p>
        </w:tc>
        <w:tc>
          <w:tcPr>
            <w:tcW w:w="630" w:type="dxa"/>
            <w:tcBorders>
              <w:top w:val="single" w:sz="4" w:space="0" w:color="000000"/>
            </w:tcBorders>
            <w:shd w:val="clear" w:color="auto" w:fill="EDEDED"/>
            <w:vAlign w:val="center"/>
          </w:tcPr>
          <w:p w14:paraId="227C164A" w14:textId="77777777" w:rsidR="0030333D" w:rsidRDefault="00000000">
            <w:pP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SDG15</w:t>
            </w:r>
          </w:p>
        </w:tc>
        <w:tc>
          <w:tcPr>
            <w:tcW w:w="630" w:type="dxa"/>
            <w:tcBorders>
              <w:top w:val="single" w:sz="4" w:space="0" w:color="000000"/>
            </w:tcBorders>
            <w:shd w:val="clear" w:color="auto" w:fill="auto"/>
            <w:vAlign w:val="center"/>
          </w:tcPr>
          <w:p w14:paraId="0D6FE177" w14:textId="77777777" w:rsidR="0030333D" w:rsidRDefault="00000000">
            <w:pP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SDG16</w:t>
            </w:r>
          </w:p>
        </w:tc>
        <w:tc>
          <w:tcPr>
            <w:tcW w:w="630" w:type="dxa"/>
            <w:tcBorders>
              <w:top w:val="single" w:sz="4" w:space="0" w:color="000000"/>
            </w:tcBorders>
            <w:shd w:val="clear" w:color="auto" w:fill="EDEDED"/>
            <w:vAlign w:val="center"/>
          </w:tcPr>
          <w:p w14:paraId="182937C6" w14:textId="77777777" w:rsidR="0030333D" w:rsidRDefault="00000000">
            <w:pP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SDG17</w:t>
            </w:r>
          </w:p>
        </w:tc>
        <w:tc>
          <w:tcPr>
            <w:tcW w:w="792" w:type="dxa"/>
            <w:tcBorders>
              <w:top w:val="single" w:sz="4" w:space="0" w:color="000000"/>
            </w:tcBorders>
            <w:shd w:val="clear" w:color="auto" w:fill="auto"/>
            <w:vAlign w:val="center"/>
          </w:tcPr>
          <w:p w14:paraId="004D5A7C" w14:textId="77777777" w:rsidR="0030333D" w:rsidRDefault="00000000">
            <w:pP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Average</w:t>
            </w:r>
          </w:p>
        </w:tc>
      </w:tr>
      <w:tr w:rsidR="0030333D" w14:paraId="4B42B533" w14:textId="77777777">
        <w:trPr>
          <w:trHeight w:val="288"/>
        </w:trPr>
        <w:tc>
          <w:tcPr>
            <w:tcW w:w="11496" w:type="dxa"/>
            <w:gridSpan w:val="18"/>
            <w:tcBorders>
              <w:top w:val="single" w:sz="4" w:space="0" w:color="000000"/>
            </w:tcBorders>
            <w:shd w:val="clear" w:color="auto" w:fill="auto"/>
            <w:vAlign w:val="center"/>
          </w:tcPr>
          <w:p w14:paraId="182DBA6D" w14:textId="77777777" w:rsidR="0030333D" w:rsidRDefault="0030333D">
            <w:pPr>
              <w:rPr>
                <w:rFonts w:ascii="Times New Roman" w:eastAsia="Times New Roman" w:hAnsi="Times New Roman" w:cs="Times New Roman"/>
                <w:color w:val="000000"/>
                <w:sz w:val="20"/>
                <w:szCs w:val="20"/>
              </w:rPr>
            </w:pPr>
          </w:p>
          <w:p w14:paraId="2D559E39" w14:textId="77777777" w:rsidR="0030333D" w:rsidRDefault="00000000">
            <w:pP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Anglo-Saxon</w:t>
            </w:r>
          </w:p>
          <w:p w14:paraId="48A3B424" w14:textId="77777777" w:rsidR="0030333D" w:rsidRDefault="0000000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Independent variable: Home-country SDG progress</w:t>
            </w:r>
          </w:p>
        </w:tc>
      </w:tr>
      <w:tr w:rsidR="0030333D" w14:paraId="4E12F96F" w14:textId="77777777">
        <w:trPr>
          <w:trHeight w:val="336"/>
        </w:trPr>
        <w:tc>
          <w:tcPr>
            <w:tcW w:w="628" w:type="dxa"/>
            <w:shd w:val="clear" w:color="auto" w:fill="EDEDED"/>
            <w:vAlign w:val="center"/>
          </w:tcPr>
          <w:p w14:paraId="592E437C"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-0.20</w:t>
            </w:r>
          </w:p>
          <w:p w14:paraId="5EDFE3B5"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(0.14)</w:t>
            </w:r>
          </w:p>
        </w:tc>
        <w:tc>
          <w:tcPr>
            <w:tcW w:w="628" w:type="dxa"/>
            <w:shd w:val="clear" w:color="auto" w:fill="auto"/>
            <w:vAlign w:val="center"/>
          </w:tcPr>
          <w:p w14:paraId="4E2F73AA"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-0.27</w:t>
            </w:r>
          </w:p>
          <w:p w14:paraId="0D752397"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(0.18)</w:t>
            </w:r>
          </w:p>
        </w:tc>
        <w:tc>
          <w:tcPr>
            <w:tcW w:w="628" w:type="dxa"/>
            <w:shd w:val="clear" w:color="auto" w:fill="EDEDED"/>
            <w:vAlign w:val="center"/>
          </w:tcPr>
          <w:p w14:paraId="61E321BC"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 xml:space="preserve">-0.34** </w:t>
            </w:r>
          </w:p>
          <w:p w14:paraId="619206E1"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(0.15)</w:t>
            </w:r>
          </w:p>
        </w:tc>
        <w:tc>
          <w:tcPr>
            <w:tcW w:w="630" w:type="dxa"/>
            <w:shd w:val="clear" w:color="auto" w:fill="auto"/>
            <w:vAlign w:val="center"/>
          </w:tcPr>
          <w:p w14:paraId="3A1EE0EC"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-0.23</w:t>
            </w:r>
          </w:p>
          <w:p w14:paraId="4DA788E3"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(0.24)</w:t>
            </w:r>
          </w:p>
        </w:tc>
        <w:tc>
          <w:tcPr>
            <w:tcW w:w="630" w:type="dxa"/>
            <w:shd w:val="clear" w:color="auto" w:fill="EDEDED"/>
            <w:vAlign w:val="center"/>
          </w:tcPr>
          <w:p w14:paraId="2F3B4D6C"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-0.07</w:t>
            </w:r>
          </w:p>
          <w:p w14:paraId="111603BA"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(0.08)</w:t>
            </w:r>
          </w:p>
        </w:tc>
        <w:tc>
          <w:tcPr>
            <w:tcW w:w="630" w:type="dxa"/>
            <w:shd w:val="clear" w:color="auto" w:fill="auto"/>
            <w:vAlign w:val="center"/>
          </w:tcPr>
          <w:p w14:paraId="1499A1BB"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 xml:space="preserve">-0.58** </w:t>
            </w:r>
          </w:p>
          <w:p w14:paraId="64DE4E62"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(0.27)</w:t>
            </w:r>
          </w:p>
        </w:tc>
        <w:tc>
          <w:tcPr>
            <w:tcW w:w="630" w:type="dxa"/>
            <w:shd w:val="clear" w:color="auto" w:fill="EDEDED"/>
            <w:vAlign w:val="center"/>
          </w:tcPr>
          <w:p w14:paraId="3F72026F"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-0.20</w:t>
            </w:r>
          </w:p>
          <w:p w14:paraId="13D42755"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(0.31)</w:t>
            </w:r>
          </w:p>
        </w:tc>
        <w:tc>
          <w:tcPr>
            <w:tcW w:w="630" w:type="dxa"/>
            <w:shd w:val="clear" w:color="auto" w:fill="auto"/>
            <w:vAlign w:val="center"/>
          </w:tcPr>
          <w:p w14:paraId="4CF59489"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0.89</w:t>
            </w:r>
          </w:p>
          <w:p w14:paraId="04502F81"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(1.36)</w:t>
            </w:r>
          </w:p>
        </w:tc>
        <w:tc>
          <w:tcPr>
            <w:tcW w:w="630" w:type="dxa"/>
            <w:shd w:val="clear" w:color="auto" w:fill="EDEDED"/>
            <w:vAlign w:val="center"/>
          </w:tcPr>
          <w:p w14:paraId="133B1247"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-0.23**</w:t>
            </w:r>
          </w:p>
          <w:p w14:paraId="5C38D9ED"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(0.08)</w:t>
            </w:r>
          </w:p>
        </w:tc>
        <w:tc>
          <w:tcPr>
            <w:tcW w:w="630" w:type="dxa"/>
            <w:shd w:val="clear" w:color="auto" w:fill="auto"/>
            <w:vAlign w:val="center"/>
          </w:tcPr>
          <w:p w14:paraId="0C0D326A"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-0.03</w:t>
            </w:r>
          </w:p>
          <w:p w14:paraId="7153D3C3"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(0.07)</w:t>
            </w:r>
          </w:p>
        </w:tc>
        <w:tc>
          <w:tcPr>
            <w:tcW w:w="630" w:type="dxa"/>
            <w:shd w:val="clear" w:color="auto" w:fill="EDEDED"/>
            <w:vAlign w:val="center"/>
          </w:tcPr>
          <w:p w14:paraId="37EFD614"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-0.44***</w:t>
            </w:r>
          </w:p>
          <w:p w14:paraId="06F48906"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(0.12)</w:t>
            </w:r>
          </w:p>
        </w:tc>
        <w:tc>
          <w:tcPr>
            <w:tcW w:w="630" w:type="dxa"/>
            <w:shd w:val="clear" w:color="auto" w:fill="auto"/>
            <w:vAlign w:val="center"/>
          </w:tcPr>
          <w:p w14:paraId="6E3950CB"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0.24**</w:t>
            </w:r>
          </w:p>
          <w:p w14:paraId="27DD5CA1"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(0.10)</w:t>
            </w:r>
          </w:p>
        </w:tc>
        <w:tc>
          <w:tcPr>
            <w:tcW w:w="630" w:type="dxa"/>
            <w:shd w:val="clear" w:color="auto" w:fill="EDEDED"/>
            <w:vAlign w:val="center"/>
          </w:tcPr>
          <w:p w14:paraId="72376114"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-0.17</w:t>
            </w:r>
          </w:p>
          <w:p w14:paraId="51943F3D"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(0.17)</w:t>
            </w:r>
          </w:p>
        </w:tc>
        <w:tc>
          <w:tcPr>
            <w:tcW w:w="630" w:type="dxa"/>
            <w:shd w:val="clear" w:color="auto" w:fill="auto"/>
            <w:vAlign w:val="center"/>
          </w:tcPr>
          <w:p w14:paraId="3F4AF47B"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-0.65*</w:t>
            </w:r>
          </w:p>
          <w:p w14:paraId="3991ED0C"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(0.36)</w:t>
            </w:r>
          </w:p>
        </w:tc>
        <w:tc>
          <w:tcPr>
            <w:tcW w:w="630" w:type="dxa"/>
            <w:shd w:val="clear" w:color="auto" w:fill="EDEDED"/>
            <w:vAlign w:val="center"/>
          </w:tcPr>
          <w:p w14:paraId="2E3FC173"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-0.20</w:t>
            </w:r>
          </w:p>
          <w:p w14:paraId="5EED1551"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(0.13)</w:t>
            </w:r>
          </w:p>
        </w:tc>
        <w:tc>
          <w:tcPr>
            <w:tcW w:w="630" w:type="dxa"/>
            <w:shd w:val="clear" w:color="auto" w:fill="auto"/>
            <w:vAlign w:val="center"/>
          </w:tcPr>
          <w:p w14:paraId="4857BBA3"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0.01</w:t>
            </w:r>
          </w:p>
          <w:p w14:paraId="68C635AD"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(0.15)</w:t>
            </w:r>
          </w:p>
        </w:tc>
        <w:tc>
          <w:tcPr>
            <w:tcW w:w="630" w:type="dxa"/>
            <w:shd w:val="clear" w:color="auto" w:fill="EDEDED"/>
            <w:vAlign w:val="center"/>
          </w:tcPr>
          <w:p w14:paraId="17062968" w14:textId="77777777" w:rsidR="0030333D" w:rsidRDefault="00000000">
            <w:pPr>
              <w:spacing w:line="360" w:lineRule="auto"/>
              <w:rPr>
                <w:rFonts w:ascii="Arial Narrow" w:eastAsia="Arial Narrow" w:hAnsi="Arial Narrow" w:cs="Arial Narrow"/>
                <w:color w:val="000000"/>
                <w:sz w:val="16"/>
                <w:szCs w:val="16"/>
                <w:highlight w:val="yellow"/>
              </w:rPr>
            </w:pPr>
            <w:r>
              <w:rPr>
                <w:rFonts w:ascii="Arial Narrow" w:eastAsia="Arial Narrow" w:hAnsi="Arial Narrow" w:cs="Arial Narrow"/>
                <w:color w:val="000000"/>
                <w:sz w:val="16"/>
                <w:szCs w:val="16"/>
              </w:rPr>
              <w:t>0</w:t>
            </w:r>
            <w:r>
              <w:rPr>
                <w:rFonts w:ascii="Arial Narrow" w:eastAsia="Arial Narrow" w:hAnsi="Arial Narrow" w:cs="Arial Narrow"/>
                <w:sz w:val="16"/>
                <w:szCs w:val="16"/>
              </w:rPr>
              <w:t>.57**</w:t>
            </w:r>
          </w:p>
          <w:p w14:paraId="626F4269"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(4.67)</w:t>
            </w:r>
          </w:p>
        </w:tc>
        <w:tc>
          <w:tcPr>
            <w:tcW w:w="792" w:type="dxa"/>
            <w:shd w:val="clear" w:color="auto" w:fill="auto"/>
            <w:vAlign w:val="center"/>
          </w:tcPr>
          <w:p w14:paraId="6153A8DC"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-0.50***</w:t>
            </w:r>
          </w:p>
          <w:p w14:paraId="6181DD48"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(0.15)</w:t>
            </w:r>
          </w:p>
        </w:tc>
      </w:tr>
      <w:tr w:rsidR="0030333D" w14:paraId="4ECE0B22" w14:textId="77777777">
        <w:trPr>
          <w:trHeight w:val="336"/>
        </w:trPr>
        <w:tc>
          <w:tcPr>
            <w:tcW w:w="11496" w:type="dxa"/>
            <w:gridSpan w:val="18"/>
            <w:shd w:val="clear" w:color="auto" w:fill="auto"/>
            <w:vAlign w:val="center"/>
          </w:tcPr>
          <w:p w14:paraId="48F7EED7" w14:textId="77777777" w:rsidR="0030333D" w:rsidRDefault="0030333D">
            <w:pPr>
              <w:rPr>
                <w:rFonts w:ascii="Times New Roman" w:eastAsia="Times New Roman" w:hAnsi="Times New Roman" w:cs="Times New Roman"/>
                <w:color w:val="000000"/>
                <w:sz w:val="20"/>
                <w:szCs w:val="20"/>
              </w:rPr>
            </w:pPr>
          </w:p>
          <w:p w14:paraId="6A928DF0" w14:textId="77777777" w:rsidR="0030333D" w:rsidRDefault="00000000">
            <w:pP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Asia-Pacific</w:t>
            </w:r>
          </w:p>
          <w:p w14:paraId="135C163E" w14:textId="77777777" w:rsidR="0030333D" w:rsidRDefault="00000000">
            <w:pPr>
              <w:rPr>
                <w:rFonts w:ascii="Times New Roman" w:eastAsia="Times New Roman" w:hAnsi="Times New Roman" w:cs="Times New Roman"/>
                <w:b/>
                <w:color w:val="000000"/>
                <w:sz w:val="20"/>
                <w:szCs w:val="20"/>
              </w:rPr>
            </w:pPr>
            <w:r>
              <w:rPr>
                <w:rFonts w:ascii="Times New Roman" w:eastAsia="Times New Roman" w:hAnsi="Times New Roman" w:cs="Times New Roman"/>
                <w:color w:val="000000"/>
                <w:sz w:val="20"/>
                <w:szCs w:val="20"/>
              </w:rPr>
              <w:t>Independent variable: Home-country SDG progress</w:t>
            </w:r>
          </w:p>
        </w:tc>
      </w:tr>
      <w:tr w:rsidR="0030333D" w14:paraId="5FCAC3F3" w14:textId="77777777">
        <w:trPr>
          <w:trHeight w:val="336"/>
        </w:trPr>
        <w:tc>
          <w:tcPr>
            <w:tcW w:w="628" w:type="dxa"/>
            <w:shd w:val="clear" w:color="auto" w:fill="EDEDED"/>
            <w:vAlign w:val="center"/>
          </w:tcPr>
          <w:p w14:paraId="518E038C"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-3.22</w:t>
            </w:r>
          </w:p>
          <w:p w14:paraId="502AF6CA"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(2.93)</w:t>
            </w:r>
          </w:p>
        </w:tc>
        <w:tc>
          <w:tcPr>
            <w:tcW w:w="628" w:type="dxa"/>
            <w:shd w:val="clear" w:color="auto" w:fill="auto"/>
            <w:vAlign w:val="center"/>
          </w:tcPr>
          <w:p w14:paraId="1B4A7090"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-0.29</w:t>
            </w:r>
          </w:p>
          <w:p w14:paraId="11CCFB3D"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(0.35)</w:t>
            </w:r>
          </w:p>
        </w:tc>
        <w:tc>
          <w:tcPr>
            <w:tcW w:w="628" w:type="dxa"/>
            <w:shd w:val="clear" w:color="auto" w:fill="EDEDED"/>
            <w:vAlign w:val="center"/>
          </w:tcPr>
          <w:p w14:paraId="7FCF0C1A"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0.03</w:t>
            </w:r>
          </w:p>
          <w:p w14:paraId="45104372"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(0.25)</w:t>
            </w:r>
          </w:p>
        </w:tc>
        <w:tc>
          <w:tcPr>
            <w:tcW w:w="630" w:type="dxa"/>
            <w:shd w:val="clear" w:color="auto" w:fill="auto"/>
            <w:vAlign w:val="center"/>
          </w:tcPr>
          <w:p w14:paraId="1BF84BF3"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-0.18</w:t>
            </w:r>
          </w:p>
          <w:p w14:paraId="1F867375"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(0.60)</w:t>
            </w:r>
          </w:p>
        </w:tc>
        <w:tc>
          <w:tcPr>
            <w:tcW w:w="630" w:type="dxa"/>
            <w:shd w:val="clear" w:color="auto" w:fill="EDEDED"/>
            <w:vAlign w:val="center"/>
          </w:tcPr>
          <w:p w14:paraId="0408229A"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-0.20</w:t>
            </w:r>
          </w:p>
          <w:p w14:paraId="47243248"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(0.31)</w:t>
            </w:r>
          </w:p>
        </w:tc>
        <w:tc>
          <w:tcPr>
            <w:tcW w:w="630" w:type="dxa"/>
            <w:shd w:val="clear" w:color="auto" w:fill="auto"/>
            <w:vAlign w:val="center"/>
          </w:tcPr>
          <w:p w14:paraId="52A9C0CF"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-2.36**</w:t>
            </w:r>
          </w:p>
          <w:p w14:paraId="55569812"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(0.90)</w:t>
            </w:r>
          </w:p>
        </w:tc>
        <w:tc>
          <w:tcPr>
            <w:tcW w:w="630" w:type="dxa"/>
            <w:shd w:val="clear" w:color="auto" w:fill="EDEDED"/>
            <w:vAlign w:val="center"/>
          </w:tcPr>
          <w:p w14:paraId="7614C054"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-1.15</w:t>
            </w:r>
          </w:p>
          <w:p w14:paraId="152355E6"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(0.71)</w:t>
            </w:r>
          </w:p>
        </w:tc>
        <w:tc>
          <w:tcPr>
            <w:tcW w:w="630" w:type="dxa"/>
            <w:shd w:val="clear" w:color="auto" w:fill="auto"/>
            <w:vAlign w:val="center"/>
          </w:tcPr>
          <w:p w14:paraId="07A303F1"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-0.03</w:t>
            </w:r>
          </w:p>
          <w:p w14:paraId="13DAEE8C"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(0.59)</w:t>
            </w:r>
          </w:p>
        </w:tc>
        <w:tc>
          <w:tcPr>
            <w:tcW w:w="630" w:type="dxa"/>
            <w:shd w:val="clear" w:color="auto" w:fill="EDEDED"/>
            <w:vAlign w:val="center"/>
          </w:tcPr>
          <w:p w14:paraId="50FE3AF6"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0.07</w:t>
            </w:r>
          </w:p>
          <w:p w14:paraId="4428E1DC"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(0.12)</w:t>
            </w:r>
          </w:p>
        </w:tc>
        <w:tc>
          <w:tcPr>
            <w:tcW w:w="630" w:type="dxa"/>
            <w:shd w:val="clear" w:color="auto" w:fill="auto"/>
            <w:vAlign w:val="center"/>
          </w:tcPr>
          <w:p w14:paraId="6F6D7D60"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0.26**</w:t>
            </w:r>
          </w:p>
          <w:p w14:paraId="566FBE84"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(0.10)</w:t>
            </w:r>
          </w:p>
        </w:tc>
        <w:tc>
          <w:tcPr>
            <w:tcW w:w="630" w:type="dxa"/>
            <w:shd w:val="clear" w:color="auto" w:fill="EDEDED"/>
            <w:vAlign w:val="center"/>
          </w:tcPr>
          <w:p w14:paraId="17ECA480"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1.04**</w:t>
            </w:r>
          </w:p>
          <w:p w14:paraId="6C6F6E1B"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(0.44)</w:t>
            </w:r>
          </w:p>
        </w:tc>
        <w:tc>
          <w:tcPr>
            <w:tcW w:w="630" w:type="dxa"/>
            <w:shd w:val="clear" w:color="auto" w:fill="auto"/>
            <w:vAlign w:val="center"/>
          </w:tcPr>
          <w:p w14:paraId="09DFF713"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0.96***</w:t>
            </w:r>
          </w:p>
          <w:p w14:paraId="701651B7"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(0.31)</w:t>
            </w:r>
          </w:p>
        </w:tc>
        <w:tc>
          <w:tcPr>
            <w:tcW w:w="630" w:type="dxa"/>
            <w:shd w:val="clear" w:color="auto" w:fill="EDEDED"/>
            <w:vAlign w:val="center"/>
          </w:tcPr>
          <w:p w14:paraId="2349D411"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-1.42**</w:t>
            </w:r>
          </w:p>
          <w:p w14:paraId="625949F2"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(0.68)</w:t>
            </w:r>
          </w:p>
        </w:tc>
        <w:tc>
          <w:tcPr>
            <w:tcW w:w="630" w:type="dxa"/>
            <w:shd w:val="clear" w:color="auto" w:fill="auto"/>
            <w:vAlign w:val="center"/>
          </w:tcPr>
          <w:p w14:paraId="1676A47B"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2.51</w:t>
            </w:r>
          </w:p>
          <w:p w14:paraId="6090B4CF"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(1.81)</w:t>
            </w:r>
          </w:p>
        </w:tc>
        <w:tc>
          <w:tcPr>
            <w:tcW w:w="630" w:type="dxa"/>
            <w:shd w:val="clear" w:color="auto" w:fill="EDEDED"/>
            <w:vAlign w:val="center"/>
          </w:tcPr>
          <w:p w14:paraId="2A7556E5"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0.18</w:t>
            </w:r>
          </w:p>
          <w:p w14:paraId="72936608"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(0.26)</w:t>
            </w:r>
          </w:p>
        </w:tc>
        <w:tc>
          <w:tcPr>
            <w:tcW w:w="630" w:type="dxa"/>
            <w:shd w:val="clear" w:color="auto" w:fill="auto"/>
            <w:vAlign w:val="center"/>
          </w:tcPr>
          <w:p w14:paraId="1BBE2EC1"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0.01</w:t>
            </w:r>
          </w:p>
          <w:p w14:paraId="6A1460AD"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(0.09)</w:t>
            </w:r>
          </w:p>
        </w:tc>
        <w:tc>
          <w:tcPr>
            <w:tcW w:w="630" w:type="dxa"/>
            <w:shd w:val="clear" w:color="auto" w:fill="EDEDED"/>
            <w:vAlign w:val="center"/>
          </w:tcPr>
          <w:p w14:paraId="2ACDC064"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-0.38*</w:t>
            </w:r>
          </w:p>
          <w:p w14:paraId="325A7340"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(0.21)</w:t>
            </w:r>
          </w:p>
        </w:tc>
        <w:tc>
          <w:tcPr>
            <w:tcW w:w="792" w:type="dxa"/>
            <w:shd w:val="clear" w:color="auto" w:fill="auto"/>
            <w:vAlign w:val="center"/>
          </w:tcPr>
          <w:p w14:paraId="53043D8F"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-0.67</w:t>
            </w:r>
          </w:p>
          <w:p w14:paraId="64BA7296"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(0.62)</w:t>
            </w:r>
          </w:p>
        </w:tc>
      </w:tr>
      <w:tr w:rsidR="0030333D" w14:paraId="45AD0945" w14:textId="77777777">
        <w:trPr>
          <w:trHeight w:val="336"/>
        </w:trPr>
        <w:tc>
          <w:tcPr>
            <w:tcW w:w="11496" w:type="dxa"/>
            <w:gridSpan w:val="18"/>
            <w:shd w:val="clear" w:color="auto" w:fill="auto"/>
            <w:vAlign w:val="center"/>
          </w:tcPr>
          <w:p w14:paraId="00CC2ADB" w14:textId="77777777" w:rsidR="0030333D" w:rsidRDefault="0030333D">
            <w:pPr>
              <w:rPr>
                <w:rFonts w:ascii="Times New Roman" w:eastAsia="Times New Roman" w:hAnsi="Times New Roman" w:cs="Times New Roman"/>
                <w:color w:val="000000"/>
                <w:sz w:val="20"/>
                <w:szCs w:val="20"/>
              </w:rPr>
            </w:pPr>
          </w:p>
          <w:p w14:paraId="3394C46A" w14:textId="77777777" w:rsidR="0030333D" w:rsidRDefault="00000000">
            <w:pP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Continental Europe</w:t>
            </w:r>
          </w:p>
          <w:p w14:paraId="6D3FDA77" w14:textId="77777777" w:rsidR="0030333D" w:rsidRDefault="00000000">
            <w:pPr>
              <w:rPr>
                <w:rFonts w:ascii="Times New Roman" w:eastAsia="Times New Roman" w:hAnsi="Times New Roman" w:cs="Times New Roman"/>
                <w:b/>
                <w:color w:val="000000"/>
                <w:sz w:val="20"/>
                <w:szCs w:val="20"/>
              </w:rPr>
            </w:pPr>
            <w:r>
              <w:rPr>
                <w:rFonts w:ascii="Times New Roman" w:eastAsia="Times New Roman" w:hAnsi="Times New Roman" w:cs="Times New Roman"/>
                <w:color w:val="000000"/>
                <w:sz w:val="20"/>
                <w:szCs w:val="20"/>
              </w:rPr>
              <w:t>Independent variable: Home-country SDG progress</w:t>
            </w:r>
          </w:p>
        </w:tc>
      </w:tr>
      <w:tr w:rsidR="0030333D" w14:paraId="7D10BB89" w14:textId="77777777">
        <w:trPr>
          <w:trHeight w:val="336"/>
        </w:trPr>
        <w:tc>
          <w:tcPr>
            <w:tcW w:w="628" w:type="dxa"/>
            <w:tcBorders>
              <w:bottom w:val="single" w:sz="4" w:space="0" w:color="000000"/>
            </w:tcBorders>
            <w:shd w:val="clear" w:color="auto" w:fill="EDEDED"/>
            <w:vAlign w:val="center"/>
          </w:tcPr>
          <w:p w14:paraId="1A496BDE"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-0.55**</w:t>
            </w:r>
          </w:p>
          <w:p w14:paraId="0DBBE849"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(0.27)</w:t>
            </w:r>
          </w:p>
        </w:tc>
        <w:tc>
          <w:tcPr>
            <w:tcW w:w="628" w:type="dxa"/>
            <w:tcBorders>
              <w:bottom w:val="single" w:sz="4" w:space="0" w:color="000000"/>
            </w:tcBorders>
            <w:shd w:val="clear" w:color="auto" w:fill="auto"/>
            <w:vAlign w:val="center"/>
          </w:tcPr>
          <w:p w14:paraId="7CCAFAAE"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-0.23</w:t>
            </w:r>
          </w:p>
          <w:p w14:paraId="11FFCDF7"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(0.24)</w:t>
            </w:r>
          </w:p>
        </w:tc>
        <w:tc>
          <w:tcPr>
            <w:tcW w:w="628" w:type="dxa"/>
            <w:tcBorders>
              <w:bottom w:val="single" w:sz="4" w:space="0" w:color="000000"/>
            </w:tcBorders>
            <w:shd w:val="clear" w:color="auto" w:fill="EDEDED"/>
            <w:vAlign w:val="center"/>
          </w:tcPr>
          <w:p w14:paraId="1D8D2DD0"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-0.31*</w:t>
            </w:r>
          </w:p>
          <w:p w14:paraId="4C233710"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(0.19)</w:t>
            </w:r>
          </w:p>
        </w:tc>
        <w:tc>
          <w:tcPr>
            <w:tcW w:w="630" w:type="dxa"/>
            <w:tcBorders>
              <w:bottom w:val="single" w:sz="4" w:space="0" w:color="000000"/>
            </w:tcBorders>
            <w:shd w:val="clear" w:color="auto" w:fill="auto"/>
            <w:vAlign w:val="center"/>
          </w:tcPr>
          <w:p w14:paraId="7E044AFC"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-0.14</w:t>
            </w:r>
          </w:p>
          <w:p w14:paraId="05BD8E27"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(0.20)</w:t>
            </w:r>
          </w:p>
        </w:tc>
        <w:tc>
          <w:tcPr>
            <w:tcW w:w="630" w:type="dxa"/>
            <w:tcBorders>
              <w:bottom w:val="single" w:sz="4" w:space="0" w:color="000000"/>
            </w:tcBorders>
            <w:shd w:val="clear" w:color="auto" w:fill="EDEDED"/>
            <w:vAlign w:val="center"/>
          </w:tcPr>
          <w:p w14:paraId="54031129"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-0.21***</w:t>
            </w:r>
          </w:p>
          <w:p w14:paraId="14B62511"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(0.07)</w:t>
            </w:r>
          </w:p>
        </w:tc>
        <w:tc>
          <w:tcPr>
            <w:tcW w:w="630" w:type="dxa"/>
            <w:tcBorders>
              <w:bottom w:val="single" w:sz="4" w:space="0" w:color="000000"/>
            </w:tcBorders>
            <w:shd w:val="clear" w:color="auto" w:fill="auto"/>
            <w:vAlign w:val="center"/>
          </w:tcPr>
          <w:p w14:paraId="2AB8C87B"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-0.16</w:t>
            </w:r>
          </w:p>
          <w:p w14:paraId="0DEFDF38"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(0.36)</w:t>
            </w:r>
          </w:p>
        </w:tc>
        <w:tc>
          <w:tcPr>
            <w:tcW w:w="630" w:type="dxa"/>
            <w:tcBorders>
              <w:bottom w:val="single" w:sz="4" w:space="0" w:color="000000"/>
            </w:tcBorders>
            <w:shd w:val="clear" w:color="auto" w:fill="EDEDED"/>
            <w:vAlign w:val="center"/>
          </w:tcPr>
          <w:p w14:paraId="4653143A"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-1.27*</w:t>
            </w:r>
          </w:p>
          <w:p w14:paraId="7C3BC757"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(0.71)</w:t>
            </w:r>
          </w:p>
        </w:tc>
        <w:tc>
          <w:tcPr>
            <w:tcW w:w="630" w:type="dxa"/>
            <w:tcBorders>
              <w:bottom w:val="single" w:sz="4" w:space="0" w:color="000000"/>
            </w:tcBorders>
            <w:shd w:val="clear" w:color="auto" w:fill="auto"/>
            <w:vAlign w:val="center"/>
          </w:tcPr>
          <w:p w14:paraId="1C5B3F61"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-0.35</w:t>
            </w:r>
          </w:p>
          <w:p w14:paraId="739B3FEE"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(0.24)</w:t>
            </w:r>
          </w:p>
        </w:tc>
        <w:tc>
          <w:tcPr>
            <w:tcW w:w="630" w:type="dxa"/>
            <w:tcBorders>
              <w:bottom w:val="single" w:sz="4" w:space="0" w:color="000000"/>
            </w:tcBorders>
            <w:shd w:val="clear" w:color="auto" w:fill="EDEDED"/>
            <w:vAlign w:val="center"/>
          </w:tcPr>
          <w:p w14:paraId="25F0898B"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-0.06</w:t>
            </w:r>
          </w:p>
          <w:p w14:paraId="17D96B8C"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(0.11)</w:t>
            </w:r>
          </w:p>
        </w:tc>
        <w:tc>
          <w:tcPr>
            <w:tcW w:w="630" w:type="dxa"/>
            <w:tcBorders>
              <w:bottom w:val="single" w:sz="4" w:space="0" w:color="000000"/>
            </w:tcBorders>
            <w:shd w:val="clear" w:color="auto" w:fill="auto"/>
            <w:vAlign w:val="center"/>
          </w:tcPr>
          <w:p w14:paraId="0AFF895E"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-0.07*</w:t>
            </w:r>
          </w:p>
          <w:p w14:paraId="084594C6"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(0.04)</w:t>
            </w:r>
          </w:p>
        </w:tc>
        <w:tc>
          <w:tcPr>
            <w:tcW w:w="630" w:type="dxa"/>
            <w:tcBorders>
              <w:bottom w:val="single" w:sz="4" w:space="0" w:color="000000"/>
            </w:tcBorders>
            <w:shd w:val="clear" w:color="auto" w:fill="EDEDED"/>
            <w:vAlign w:val="center"/>
          </w:tcPr>
          <w:p w14:paraId="70691731"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-0.14</w:t>
            </w:r>
          </w:p>
          <w:p w14:paraId="0AAB9389"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(0.13)</w:t>
            </w:r>
          </w:p>
        </w:tc>
        <w:tc>
          <w:tcPr>
            <w:tcW w:w="630" w:type="dxa"/>
            <w:tcBorders>
              <w:bottom w:val="single" w:sz="4" w:space="0" w:color="000000"/>
            </w:tcBorders>
            <w:shd w:val="clear" w:color="auto" w:fill="auto"/>
            <w:vAlign w:val="center"/>
          </w:tcPr>
          <w:p w14:paraId="7347B56D"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-0.03</w:t>
            </w:r>
          </w:p>
          <w:p w14:paraId="2107FB74"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(0.11)</w:t>
            </w:r>
          </w:p>
        </w:tc>
        <w:tc>
          <w:tcPr>
            <w:tcW w:w="630" w:type="dxa"/>
            <w:tcBorders>
              <w:bottom w:val="single" w:sz="4" w:space="0" w:color="000000"/>
            </w:tcBorders>
            <w:shd w:val="clear" w:color="auto" w:fill="EDEDED"/>
            <w:vAlign w:val="center"/>
          </w:tcPr>
          <w:p w14:paraId="4A46577F"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-0.09</w:t>
            </w:r>
          </w:p>
          <w:p w14:paraId="0797927C"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(0.12)</w:t>
            </w:r>
          </w:p>
        </w:tc>
        <w:tc>
          <w:tcPr>
            <w:tcW w:w="630" w:type="dxa"/>
            <w:tcBorders>
              <w:bottom w:val="single" w:sz="4" w:space="0" w:color="000000"/>
            </w:tcBorders>
            <w:shd w:val="clear" w:color="auto" w:fill="auto"/>
            <w:vAlign w:val="center"/>
          </w:tcPr>
          <w:p w14:paraId="5CDB4F60"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-0.00</w:t>
            </w:r>
          </w:p>
          <w:p w14:paraId="6480F5C8"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(0.07)</w:t>
            </w:r>
          </w:p>
        </w:tc>
        <w:tc>
          <w:tcPr>
            <w:tcW w:w="630" w:type="dxa"/>
            <w:tcBorders>
              <w:bottom w:val="single" w:sz="4" w:space="0" w:color="000000"/>
            </w:tcBorders>
            <w:shd w:val="clear" w:color="auto" w:fill="EDEDED"/>
            <w:vAlign w:val="center"/>
          </w:tcPr>
          <w:p w14:paraId="4261E6AD"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-0.11*</w:t>
            </w:r>
          </w:p>
          <w:p w14:paraId="40DB5FB4"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(0.06)</w:t>
            </w:r>
          </w:p>
        </w:tc>
        <w:tc>
          <w:tcPr>
            <w:tcW w:w="630" w:type="dxa"/>
            <w:tcBorders>
              <w:bottom w:val="single" w:sz="4" w:space="0" w:color="000000"/>
            </w:tcBorders>
            <w:shd w:val="clear" w:color="auto" w:fill="auto"/>
            <w:vAlign w:val="center"/>
          </w:tcPr>
          <w:p w14:paraId="3AF34299"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-0.27***</w:t>
            </w:r>
          </w:p>
          <w:p w14:paraId="214EC8FE"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(0.09)</w:t>
            </w:r>
          </w:p>
        </w:tc>
        <w:tc>
          <w:tcPr>
            <w:tcW w:w="630" w:type="dxa"/>
            <w:tcBorders>
              <w:bottom w:val="single" w:sz="4" w:space="0" w:color="000000"/>
            </w:tcBorders>
            <w:shd w:val="clear" w:color="auto" w:fill="EDEDED"/>
            <w:vAlign w:val="center"/>
          </w:tcPr>
          <w:p w14:paraId="668170D8"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-0.08</w:t>
            </w:r>
          </w:p>
          <w:p w14:paraId="0ED2EDA2"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(0.06)</w:t>
            </w:r>
          </w:p>
        </w:tc>
        <w:tc>
          <w:tcPr>
            <w:tcW w:w="792" w:type="dxa"/>
            <w:tcBorders>
              <w:bottom w:val="single" w:sz="4" w:space="0" w:color="000000"/>
            </w:tcBorders>
            <w:shd w:val="clear" w:color="auto" w:fill="auto"/>
            <w:vAlign w:val="center"/>
          </w:tcPr>
          <w:p w14:paraId="4CF30730"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-0.47**</w:t>
            </w:r>
          </w:p>
          <w:p w14:paraId="2267A424" w14:textId="77777777" w:rsidR="0030333D" w:rsidRDefault="00000000">
            <w:pPr>
              <w:spacing w:line="360" w:lineRule="auto"/>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(0.20)</w:t>
            </w:r>
          </w:p>
        </w:tc>
      </w:tr>
    </w:tbl>
    <w:p w14:paraId="05F77B66" w14:textId="77777777" w:rsidR="0030333D" w:rsidRDefault="00000000">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Dependent variable: Firm language alignment to individual SDG.</w:t>
      </w:r>
    </w:p>
    <w:p w14:paraId="024598A7" w14:textId="77777777" w:rsidR="0030333D" w:rsidRDefault="00000000">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Robust standard errors (clustered at company level) are in parenthesis. Levels of significance: * p &lt; 0.10; ** p &lt; 0.05; *** p &lt; 0.01</w:t>
      </w:r>
    </w:p>
    <w:p w14:paraId="42FDF2AB" w14:textId="77777777" w:rsidR="0030333D" w:rsidRDefault="0030333D">
      <w:pPr>
        <w:rPr>
          <w:rFonts w:ascii="Times New Roman" w:eastAsia="Times New Roman" w:hAnsi="Times New Roman" w:cs="Times New Roman"/>
          <w:sz w:val="24"/>
          <w:szCs w:val="24"/>
        </w:rPr>
      </w:pPr>
    </w:p>
    <w:p w14:paraId="23536636" w14:textId="77777777" w:rsidR="0030333D" w:rsidRDefault="0030333D">
      <w:pPr>
        <w:rPr>
          <w:rFonts w:ascii="Times New Roman" w:eastAsia="Times New Roman" w:hAnsi="Times New Roman" w:cs="Times New Roman"/>
          <w:sz w:val="24"/>
          <w:szCs w:val="24"/>
        </w:rPr>
      </w:pPr>
    </w:p>
    <w:p w14:paraId="5184F929" w14:textId="77777777" w:rsidR="0030333D" w:rsidRDefault="00000000">
      <w:pPr>
        <w:rPr>
          <w:rFonts w:ascii="Times New Roman" w:eastAsia="Times New Roman" w:hAnsi="Times New Roman" w:cs="Times New Roman"/>
          <w:sz w:val="24"/>
          <w:szCs w:val="24"/>
        </w:rPr>
      </w:pPr>
      <w:r>
        <w:br w:type="page"/>
      </w:r>
    </w:p>
    <w:p w14:paraId="75578809" w14:textId="77777777" w:rsidR="0030333D" w:rsidRDefault="00000000">
      <w:pPr>
        <w:ind w:right="297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Figure 1. Variation across geo-institutional groups in relationships between firm SDG engagement and home-country SDG progress (based on Table 7).</w:t>
      </w:r>
    </w:p>
    <w:tbl>
      <w:tblPr>
        <w:tblStyle w:val="afffff"/>
        <w:tblW w:w="97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786"/>
      </w:tblGrid>
      <w:tr w:rsidR="0030333D" w14:paraId="49BE4FED" w14:textId="77777777">
        <w:tc>
          <w:tcPr>
            <w:tcW w:w="9786" w:type="dxa"/>
          </w:tcPr>
          <w:p w14:paraId="3A0AC1EC" w14:textId="77777777" w:rsidR="0030333D"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a. Significant Substitution (Liability of Origin) Relationships (p&lt;0.10)</w:t>
            </w:r>
          </w:p>
        </w:tc>
      </w:tr>
      <w:tr w:rsidR="0030333D" w14:paraId="0454D613" w14:textId="77777777">
        <w:trPr>
          <w:trHeight w:val="3797"/>
        </w:trPr>
        <w:tc>
          <w:tcPr>
            <w:tcW w:w="9786" w:type="dxa"/>
            <w:vAlign w:val="center"/>
          </w:tcPr>
          <w:p w14:paraId="250D2518" w14:textId="77777777" w:rsidR="0030333D" w:rsidRDefault="00000000">
            <w:pP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7D42C861" wp14:editId="060E36EA">
                  <wp:extent cx="6071870" cy="2286000"/>
                  <wp:effectExtent l="0" t="0" r="0" b="0"/>
                  <wp:docPr id="1908851430" name="image1.png" descr="A black background with colorful signs&#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1.png" descr="A black background with colorful signs&#10;&#10;Description automatically generated with medium confidence"/>
                          <pic:cNvPicPr preferRelativeResize="0"/>
                        </pic:nvPicPr>
                        <pic:blipFill>
                          <a:blip r:embed="rId44"/>
                          <a:srcRect/>
                          <a:stretch>
                            <a:fillRect/>
                          </a:stretch>
                        </pic:blipFill>
                        <pic:spPr>
                          <a:xfrm>
                            <a:off x="0" y="0"/>
                            <a:ext cx="6071870" cy="2286000"/>
                          </a:xfrm>
                          <a:prstGeom prst="rect">
                            <a:avLst/>
                          </a:prstGeom>
                          <a:ln/>
                        </pic:spPr>
                      </pic:pic>
                    </a:graphicData>
                  </a:graphic>
                </wp:inline>
              </w:drawing>
            </w:r>
          </w:p>
        </w:tc>
      </w:tr>
      <w:tr w:rsidR="0030333D" w14:paraId="71AA56D4" w14:textId="77777777">
        <w:tc>
          <w:tcPr>
            <w:tcW w:w="9786" w:type="dxa"/>
          </w:tcPr>
          <w:p w14:paraId="45A54DE6" w14:textId="77777777" w:rsidR="0030333D" w:rsidRDefault="0030333D">
            <w:pPr>
              <w:rPr>
                <w:rFonts w:ascii="Times New Roman" w:eastAsia="Times New Roman" w:hAnsi="Times New Roman" w:cs="Times New Roman"/>
                <w:sz w:val="24"/>
                <w:szCs w:val="24"/>
              </w:rPr>
            </w:pPr>
          </w:p>
        </w:tc>
      </w:tr>
      <w:tr w:rsidR="0030333D" w14:paraId="49793106" w14:textId="77777777">
        <w:tc>
          <w:tcPr>
            <w:tcW w:w="9786" w:type="dxa"/>
          </w:tcPr>
          <w:p w14:paraId="2ED200E6" w14:textId="77777777" w:rsidR="0030333D"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b. Significant Complementary (Mimetic Isomorphism) Relationships (p&lt;0.10)</w:t>
            </w:r>
          </w:p>
        </w:tc>
      </w:tr>
      <w:tr w:rsidR="0030333D" w14:paraId="33B55569" w14:textId="77777777">
        <w:trPr>
          <w:trHeight w:val="2852"/>
        </w:trPr>
        <w:tc>
          <w:tcPr>
            <w:tcW w:w="9786" w:type="dxa"/>
            <w:vAlign w:val="center"/>
          </w:tcPr>
          <w:p w14:paraId="495A993B" w14:textId="77777777" w:rsidR="0030333D" w:rsidRDefault="00000000">
            <w:pP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6A5D6448" wp14:editId="1BDCFD9E">
                  <wp:extent cx="5035550" cy="1627505"/>
                  <wp:effectExtent l="0" t="0" r="0" b="0"/>
                  <wp:docPr id="1908851431" name="image2.png" descr="A screenshot of a computer&#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png" descr="A screenshot of a computer&#10;&#10;Description automatically generated"/>
                          <pic:cNvPicPr preferRelativeResize="0"/>
                        </pic:nvPicPr>
                        <pic:blipFill>
                          <a:blip r:embed="rId45"/>
                          <a:srcRect/>
                          <a:stretch>
                            <a:fillRect/>
                          </a:stretch>
                        </pic:blipFill>
                        <pic:spPr>
                          <a:xfrm>
                            <a:off x="0" y="0"/>
                            <a:ext cx="5035550" cy="1627505"/>
                          </a:xfrm>
                          <a:prstGeom prst="rect">
                            <a:avLst/>
                          </a:prstGeom>
                          <a:ln/>
                        </pic:spPr>
                      </pic:pic>
                    </a:graphicData>
                  </a:graphic>
                </wp:inline>
              </w:drawing>
            </w:r>
          </w:p>
        </w:tc>
      </w:tr>
    </w:tbl>
    <w:p w14:paraId="4E9A62FA" w14:textId="77777777" w:rsidR="0030333D" w:rsidRDefault="0030333D">
      <w:pPr>
        <w:rPr>
          <w:rFonts w:ascii="Times New Roman" w:eastAsia="Times New Roman" w:hAnsi="Times New Roman" w:cs="Times New Roman"/>
          <w:sz w:val="24"/>
          <w:szCs w:val="24"/>
        </w:rPr>
      </w:pPr>
    </w:p>
    <w:p w14:paraId="13D3F5C0" w14:textId="77777777" w:rsidR="0030333D" w:rsidRDefault="0030333D">
      <w:pPr>
        <w:rPr>
          <w:rFonts w:ascii="Times New Roman" w:eastAsia="Times New Roman" w:hAnsi="Times New Roman" w:cs="Times New Roman"/>
          <w:sz w:val="24"/>
          <w:szCs w:val="24"/>
        </w:rPr>
      </w:pPr>
    </w:p>
    <w:p w14:paraId="458793ED" w14:textId="77777777" w:rsidR="0030333D" w:rsidRDefault="0030333D"/>
    <w:sectPr w:rsidR="0030333D">
      <w:pgSz w:w="15840" w:h="12240" w:orient="landscape"/>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E4CF75" w14:textId="77777777" w:rsidR="00702120" w:rsidRDefault="00702120">
      <w:pPr>
        <w:spacing w:line="240" w:lineRule="auto"/>
      </w:pPr>
      <w:r>
        <w:separator/>
      </w:r>
    </w:p>
  </w:endnote>
  <w:endnote w:type="continuationSeparator" w:id="0">
    <w:p w14:paraId="6F693958" w14:textId="77777777" w:rsidR="00702120" w:rsidRDefault="0070212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auto"/>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roman"/>
    <w:notTrueType/>
    <w:pitch w:val="default"/>
  </w:font>
  <w:font w:name="Segoe UI">
    <w:panose1 w:val="020B0502040204020203"/>
    <w:charset w:val="00"/>
    <w:family w:val="roman"/>
    <w:notTrueType/>
    <w:pitch w:val="default"/>
  </w:font>
  <w:font w:name="Gungsuh">
    <w:charset w:val="81"/>
    <w:family w:val="roman"/>
    <w:pitch w:val="variable"/>
    <w:sig w:usb0="B00002AF" w:usb1="69D77CFB" w:usb2="00000030" w:usb3="00000000" w:csb0="000800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06555A" w14:textId="77777777" w:rsidR="0030333D" w:rsidRDefault="00000000">
    <w:pPr>
      <w:pBdr>
        <w:top w:val="nil"/>
        <w:left w:val="nil"/>
        <w:bottom w:val="nil"/>
        <w:right w:val="nil"/>
        <w:between w:val="nil"/>
      </w:pBdr>
      <w:tabs>
        <w:tab w:val="center" w:pos="4680"/>
        <w:tab w:val="right" w:pos="9360"/>
      </w:tabs>
      <w:spacing w:line="240" w:lineRule="auto"/>
      <w:jc w:val="right"/>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4B053C2E" w14:textId="77777777" w:rsidR="0030333D" w:rsidRDefault="0030333D">
    <w:pPr>
      <w:pBdr>
        <w:top w:val="nil"/>
        <w:left w:val="nil"/>
        <w:bottom w:val="nil"/>
        <w:right w:val="nil"/>
        <w:between w:val="nil"/>
      </w:pBdr>
      <w:tabs>
        <w:tab w:val="center" w:pos="4680"/>
        <w:tab w:val="right" w:pos="9360"/>
      </w:tabs>
      <w:spacing w:line="240" w:lineRule="auto"/>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31F1A9" w14:textId="77777777" w:rsidR="0030333D" w:rsidRDefault="0030333D">
    <w:pPr>
      <w:pBdr>
        <w:top w:val="nil"/>
        <w:left w:val="nil"/>
        <w:bottom w:val="nil"/>
        <w:right w:val="nil"/>
        <w:between w:val="nil"/>
      </w:pBdr>
      <w:tabs>
        <w:tab w:val="center" w:pos="4680"/>
        <w:tab w:val="right" w:pos="9360"/>
      </w:tabs>
      <w:spacing w:line="240" w:lineRule="auto"/>
      <w:ind w:left="720"/>
      <w:rPr>
        <w:color w:val="000000"/>
      </w:rPr>
    </w:pPr>
  </w:p>
  <w:p w14:paraId="5F10C5D9" w14:textId="77777777" w:rsidR="0030333D" w:rsidRDefault="0030333D">
    <w:pPr>
      <w:pBdr>
        <w:top w:val="nil"/>
        <w:left w:val="nil"/>
        <w:bottom w:val="nil"/>
        <w:right w:val="nil"/>
        <w:between w:val="nil"/>
      </w:pBdr>
      <w:tabs>
        <w:tab w:val="center" w:pos="4680"/>
        <w:tab w:val="right" w:pos="9360"/>
      </w:tabs>
      <w:spacing w:line="240" w:lineRule="auto"/>
      <w:ind w:right="360"/>
      <w:jc w:val="right"/>
    </w:pPr>
  </w:p>
  <w:p w14:paraId="2182ED6D" w14:textId="77777777" w:rsidR="0030333D" w:rsidRDefault="00000000">
    <w:pPr>
      <w:pBdr>
        <w:top w:val="nil"/>
        <w:left w:val="nil"/>
        <w:bottom w:val="nil"/>
        <w:right w:val="nil"/>
        <w:between w:val="nil"/>
      </w:pBdr>
      <w:tabs>
        <w:tab w:val="center" w:pos="4680"/>
        <w:tab w:val="right" w:pos="9360"/>
      </w:tabs>
      <w:spacing w:line="240" w:lineRule="auto"/>
      <w:ind w:right="360"/>
      <w:jc w:val="right"/>
    </w:pPr>
    <w:r>
      <w:fldChar w:fldCharType="begin"/>
    </w:r>
    <w:r>
      <w:instrText>PAGE</w:instrText>
    </w:r>
    <w:r>
      <w:fldChar w:fldCharType="separate"/>
    </w:r>
    <w:r w:rsidR="0035353C">
      <w:rPr>
        <w:noProof/>
      </w:rPr>
      <w:t>1</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84E34" w14:textId="77777777" w:rsidR="0030333D" w:rsidRDefault="0030333D"/>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45B6DF" w14:textId="77777777" w:rsidR="0030333D" w:rsidRDefault="00000000">
    <w:pPr>
      <w:pBdr>
        <w:top w:val="nil"/>
        <w:left w:val="nil"/>
        <w:bottom w:val="nil"/>
        <w:right w:val="nil"/>
        <w:between w:val="nil"/>
      </w:pBdr>
      <w:tabs>
        <w:tab w:val="center" w:pos="4680"/>
        <w:tab w:val="right" w:pos="9360"/>
      </w:tabs>
      <w:spacing w:line="240" w:lineRule="auto"/>
      <w:jc w:val="right"/>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1985730A" w14:textId="77777777" w:rsidR="0030333D" w:rsidRDefault="0030333D">
    <w:pPr>
      <w:pBdr>
        <w:top w:val="nil"/>
        <w:left w:val="nil"/>
        <w:bottom w:val="nil"/>
        <w:right w:val="nil"/>
        <w:between w:val="nil"/>
      </w:pBdr>
      <w:tabs>
        <w:tab w:val="center" w:pos="4680"/>
        <w:tab w:val="right" w:pos="9360"/>
      </w:tabs>
      <w:spacing w:line="240" w:lineRule="auto"/>
      <w:ind w:right="360"/>
      <w:rPr>
        <w:color w:val="00000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9C544A" w14:textId="77777777" w:rsidR="0030333D" w:rsidRDefault="0030333D">
    <w:pPr>
      <w:pBdr>
        <w:top w:val="nil"/>
        <w:left w:val="nil"/>
        <w:bottom w:val="nil"/>
        <w:right w:val="nil"/>
        <w:between w:val="nil"/>
      </w:pBdr>
      <w:tabs>
        <w:tab w:val="center" w:pos="4680"/>
        <w:tab w:val="right" w:pos="9360"/>
      </w:tabs>
      <w:spacing w:line="240" w:lineRule="auto"/>
      <w:ind w:left="720"/>
      <w:rPr>
        <w:color w:val="000000"/>
      </w:rPr>
    </w:pPr>
  </w:p>
  <w:p w14:paraId="735A8F8B" w14:textId="77777777" w:rsidR="0030333D" w:rsidRDefault="0030333D">
    <w:pPr>
      <w:pBdr>
        <w:top w:val="nil"/>
        <w:left w:val="nil"/>
        <w:bottom w:val="nil"/>
        <w:right w:val="nil"/>
        <w:between w:val="nil"/>
      </w:pBdr>
      <w:tabs>
        <w:tab w:val="center" w:pos="4680"/>
        <w:tab w:val="right" w:pos="9360"/>
      </w:tabs>
      <w:spacing w:line="240" w:lineRule="auto"/>
      <w:ind w:right="360"/>
      <w:jc w:val="right"/>
    </w:pPr>
  </w:p>
  <w:p w14:paraId="7441C094" w14:textId="3D13CBAE" w:rsidR="0030333D" w:rsidRDefault="00000000">
    <w:pPr>
      <w:pBdr>
        <w:top w:val="nil"/>
        <w:left w:val="nil"/>
        <w:bottom w:val="nil"/>
        <w:right w:val="nil"/>
        <w:between w:val="nil"/>
      </w:pBdr>
      <w:tabs>
        <w:tab w:val="center" w:pos="4680"/>
        <w:tab w:val="right" w:pos="9360"/>
      </w:tabs>
      <w:spacing w:line="240" w:lineRule="auto"/>
      <w:ind w:right="360"/>
      <w:jc w:val="right"/>
    </w:pPr>
    <w:r>
      <w:fldChar w:fldCharType="begin"/>
    </w:r>
    <w:r>
      <w:instrText>PAGE</w:instrText>
    </w:r>
    <w:r>
      <w:fldChar w:fldCharType="separate"/>
    </w:r>
    <w:r w:rsidR="0035353C">
      <w:rPr>
        <w:noProof/>
      </w:rPr>
      <w:t>45</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DF9A85" w14:textId="77777777" w:rsidR="00702120" w:rsidRDefault="00702120">
      <w:pPr>
        <w:spacing w:line="240" w:lineRule="auto"/>
      </w:pPr>
      <w:r>
        <w:separator/>
      </w:r>
    </w:p>
  </w:footnote>
  <w:footnote w:type="continuationSeparator" w:id="0">
    <w:p w14:paraId="60FABCA5" w14:textId="77777777" w:rsidR="00702120" w:rsidRDefault="00702120">
      <w:pPr>
        <w:spacing w:line="240" w:lineRule="auto"/>
      </w:pPr>
      <w:r>
        <w:continuationSeparator/>
      </w:r>
    </w:p>
  </w:footnote>
  <w:footnote w:id="1">
    <w:p w14:paraId="42B416B4" w14:textId="77777777" w:rsidR="0030333D" w:rsidRDefault="00000000">
      <w:pPr>
        <w:spacing w:line="240" w:lineRule="auto"/>
      </w:pPr>
      <w:r>
        <w:rPr>
          <w:rStyle w:val="Refdenotaalpie"/>
        </w:rPr>
        <w:footnoteRef/>
      </w:r>
      <w:r>
        <w:t xml:space="preserve"> </w:t>
      </w:r>
      <w:r>
        <w:rPr>
          <w:rFonts w:ascii="Times New Roman" w:eastAsia="Times New Roman" w:hAnsi="Times New Roman" w:cs="Times New Roman"/>
          <w:sz w:val="20"/>
          <w:szCs w:val="20"/>
        </w:rPr>
        <w:t>Home Country SDG Score: The MNE home country's performance score on the 17 UN SDGs. This information is made available by Sustainable Development Solutions Network and published yearly in the Sustainable Development Report (Sachs et al., 2019). The database gathers data from established and publicly available sources (such as the World Bank, UNICEF, IMF, OECD, etc.) to calculate scores on 114 indicators contributing to the 17 UN SDGs. These indicator scores are aggregated into country progress scores for each SDG, which are then summed into an overall SDG progress score for the country.</w:t>
      </w:r>
    </w:p>
  </w:footnote>
  <w:footnote w:id="2">
    <w:p w14:paraId="11D7DAAC" w14:textId="77777777" w:rsidR="0030333D" w:rsidRDefault="00000000">
      <w:pPr>
        <w:spacing w:line="240" w:lineRule="auto"/>
        <w:jc w:val="both"/>
        <w:rPr>
          <w:rFonts w:ascii="Times New Roman" w:eastAsia="Times New Roman" w:hAnsi="Times New Roman" w:cs="Times New Roman"/>
          <w:sz w:val="20"/>
          <w:szCs w:val="20"/>
        </w:rPr>
      </w:pPr>
      <w:r>
        <w:rPr>
          <w:rStyle w:val="Refdenotaalpie"/>
        </w:rPr>
        <w:footnoteRef/>
      </w:r>
      <w:r>
        <w:rPr>
          <w:rFonts w:ascii="Times New Roman" w:eastAsia="Times New Roman" w:hAnsi="Times New Roman" w:cs="Times New Roman"/>
          <w:sz w:val="20"/>
          <w:szCs w:val="20"/>
        </w:rPr>
        <w:t xml:space="preserve"> We base our analysis on the highest-scoring companies in the S&amp;P Sustainability index. Thus, while we cannot directly measure sustainability performance, our sample does capture MNEs with relatively strong performance records in this area. </w:t>
      </w:r>
    </w:p>
  </w:footnote>
  <w:footnote w:id="3">
    <w:p w14:paraId="20ECC5D0" w14:textId="77777777" w:rsidR="0030333D" w:rsidRDefault="00000000">
      <w:pPr>
        <w:spacing w:line="240" w:lineRule="auto"/>
        <w:rPr>
          <w:sz w:val="20"/>
          <w:szCs w:val="20"/>
        </w:rPr>
      </w:pPr>
      <w:r>
        <w:rPr>
          <w:rStyle w:val="Refdenotaalpie"/>
        </w:rPr>
        <w:footnoteRef/>
      </w:r>
      <w:r>
        <w:rPr>
          <w:sz w:val="20"/>
          <w:szCs w:val="20"/>
        </w:rPr>
        <w:t xml:space="preserve"> “</w:t>
      </w:r>
      <w:r>
        <w:rPr>
          <w:rFonts w:ascii="Times New Roman" w:eastAsia="Times New Roman" w:hAnsi="Times New Roman" w:cs="Times New Roman"/>
          <w:sz w:val="20"/>
          <w:szCs w:val="20"/>
        </w:rPr>
        <w:t xml:space="preserve">As a prerequisite, a qualitative screen based on the MSA is applied to determine eligibility for inclusion in The Sustainability Yearbook regardless of the score derived from the CSA. The MSA is based on an examination of media coverage and publicly available stakeholder information provided by </w:t>
      </w:r>
      <w:proofErr w:type="spellStart"/>
      <w:r>
        <w:rPr>
          <w:rFonts w:ascii="Times New Roman" w:eastAsia="Times New Roman" w:hAnsi="Times New Roman" w:cs="Times New Roman"/>
          <w:sz w:val="20"/>
          <w:szCs w:val="20"/>
        </w:rPr>
        <w:t>RepRisk</w:t>
      </w:r>
      <w:proofErr w:type="spellEnd"/>
      <w:r>
        <w:rPr>
          <w:rFonts w:ascii="Times New Roman" w:eastAsia="Times New Roman" w:hAnsi="Times New Roman" w:cs="Times New Roman"/>
          <w:sz w:val="20"/>
          <w:szCs w:val="20"/>
        </w:rPr>
        <w:t xml:space="preserve"> ESG Business Intelligence and evaluates a company’s response to critical sustainability issues that may arise during the year.”</w:t>
      </w:r>
    </w:p>
  </w:footnote>
  <w:footnote w:id="4">
    <w:p w14:paraId="366D816C" w14:textId="77777777" w:rsidR="0030333D" w:rsidRDefault="00000000">
      <w:pPr>
        <w:spacing w:line="240" w:lineRule="auto"/>
        <w:jc w:val="both"/>
      </w:pPr>
      <w:r>
        <w:rPr>
          <w:rStyle w:val="Refdenotaalpie"/>
        </w:rPr>
        <w:footnoteRef/>
      </w:r>
      <w:r>
        <w:rPr>
          <w:rFonts w:ascii="Times New Roman" w:eastAsia="Times New Roman" w:hAnsi="Times New Roman" w:cs="Times New Roman"/>
          <w:color w:val="000000"/>
          <w:sz w:val="20"/>
          <w:szCs w:val="20"/>
        </w:rPr>
        <w:t xml:space="preserve"> For further details about the CATA procedures used in this study, a detailed User Guide to Scikit-Learn is available at Scikit-Learn (n.d.). Our approach to the use of the </w:t>
      </w:r>
      <w:proofErr w:type="spellStart"/>
      <w:r>
        <w:rPr>
          <w:rFonts w:ascii="Times New Roman" w:eastAsia="Times New Roman" w:hAnsi="Times New Roman" w:cs="Times New Roman"/>
          <w:color w:val="000000"/>
          <w:sz w:val="20"/>
          <w:szCs w:val="20"/>
        </w:rPr>
        <w:t>Tf-idf</w:t>
      </w:r>
      <w:proofErr w:type="spellEnd"/>
      <w:r>
        <w:rPr>
          <w:rFonts w:ascii="Times New Roman" w:eastAsia="Times New Roman" w:hAnsi="Times New Roman" w:cs="Times New Roman"/>
          <w:color w:val="000000"/>
          <w:sz w:val="20"/>
          <w:szCs w:val="20"/>
        </w:rPr>
        <w:t xml:space="preserve"> Vectorizer was patterned after that of Lavin (2019), who presents a thorough example of its application to historical documents.</w:t>
      </w:r>
    </w:p>
  </w:footnote>
  <w:footnote w:id="5">
    <w:p w14:paraId="220AE34E" w14:textId="77777777" w:rsidR="0030333D" w:rsidRDefault="00000000">
      <w:pPr>
        <w:pBdr>
          <w:top w:val="nil"/>
          <w:left w:val="nil"/>
          <w:bottom w:val="nil"/>
          <w:right w:val="nil"/>
          <w:between w:val="nil"/>
        </w:pBdr>
        <w:spacing w:line="240" w:lineRule="auto"/>
        <w:rPr>
          <w:color w:val="000000"/>
          <w:sz w:val="20"/>
          <w:szCs w:val="20"/>
        </w:rPr>
      </w:pPr>
      <w:r>
        <w:rPr>
          <w:rStyle w:val="Refdenotaalpie"/>
        </w:rPr>
        <w:footnoteRef/>
      </w:r>
      <w:r>
        <w:rPr>
          <w:color w:val="000000"/>
          <w:sz w:val="20"/>
          <w:szCs w:val="20"/>
        </w:rPr>
        <w:t xml:space="preserve"> </w:t>
      </w:r>
      <w:r>
        <w:rPr>
          <w:rFonts w:ascii="Times New Roman" w:eastAsia="Times New Roman" w:hAnsi="Times New Roman" w:cs="Times New Roman"/>
          <w:color w:val="000000"/>
          <w:sz w:val="20"/>
          <w:szCs w:val="20"/>
        </w:rPr>
        <w:t>It is worth noting here that our term weighting process does not directly account for sentiment in the usage of terms (e.g., firms stating that they are acting contrary to the SDGs). While we do recognize this as a potential limitation of our methodology, we feel that its impact is mitigated by the holistic approach of the language analysis and the context of our study sample. With terms that include up to three words, a phrase such as “increase carbon emissions” would be distinct from “reduce carbon emissions”, limiting any contribution to the alignment score.</w:t>
      </w:r>
    </w:p>
  </w:footnote>
  <w:footnote w:id="6">
    <w:p w14:paraId="16BEDD5D" w14:textId="77777777" w:rsidR="0030333D" w:rsidRDefault="00000000" w:rsidP="0035353C">
      <w:pPr>
        <w:pBdr>
          <w:top w:val="nil"/>
          <w:left w:val="nil"/>
          <w:bottom w:val="nil"/>
          <w:right w:val="nil"/>
          <w:between w:val="nil"/>
        </w:pBdr>
        <w:spacing w:line="240" w:lineRule="auto"/>
        <w:jc w:val="both"/>
        <w:rPr>
          <w:color w:val="000000"/>
          <w:sz w:val="20"/>
          <w:szCs w:val="20"/>
        </w:rPr>
      </w:pPr>
      <w:r>
        <w:rPr>
          <w:rStyle w:val="Refdenotaalpie"/>
        </w:rPr>
        <w:footnoteRef/>
      </w:r>
      <w:r>
        <w:rPr>
          <w:color w:val="000000"/>
          <w:sz w:val="20"/>
          <w:szCs w:val="20"/>
        </w:rPr>
        <w:t xml:space="preserve"> </w:t>
      </w:r>
      <w:r>
        <w:rPr>
          <w:rFonts w:ascii="Times New Roman" w:eastAsia="Times New Roman" w:hAnsi="Times New Roman" w:cs="Times New Roman"/>
          <w:color w:val="000000"/>
          <w:sz w:val="20"/>
          <w:szCs w:val="20"/>
        </w:rPr>
        <w:t>Studies have shown (e.g., Schneider, 2009) that Latin American firms differ from the standard dichotomy of “liberal” vs “coordinated” economies, in that their “hierarchical” structure is in some ways liberal and in others coordinated. We aligned these home-countries (and India, as well) based on historical connection and legal structure, but as a test for robustness, we ran ANOVA tests on our response variables (grouped by geo-institutional coding) with and without the firms from these three countries. We observed very little change in the ANOVA results, with a variation in significance for mean differences in just 2 of the 17 SDG alignment score variables. Based on this robustness, we retained all the countries in our remaining analysis.</w:t>
      </w:r>
    </w:p>
  </w:footnote>
  <w:footnote w:id="7">
    <w:p w14:paraId="333EEAD7" w14:textId="77777777" w:rsidR="0030333D" w:rsidRDefault="00000000">
      <w:pPr>
        <w:spacing w:line="240" w:lineRule="auto"/>
        <w:rPr>
          <w:rFonts w:ascii="Times New Roman" w:eastAsia="Times New Roman" w:hAnsi="Times New Roman" w:cs="Times New Roman"/>
          <w:sz w:val="20"/>
          <w:szCs w:val="20"/>
        </w:rPr>
      </w:pPr>
      <w:r>
        <w:rPr>
          <w:rStyle w:val="Refdenotaalpie"/>
        </w:rPr>
        <w:footnoteRef/>
      </w:r>
      <w:r>
        <w:rPr>
          <w:sz w:val="20"/>
          <w:szCs w:val="20"/>
        </w:rPr>
        <w:t xml:space="preserve"> </w:t>
      </w:r>
      <w:r>
        <w:rPr>
          <w:rFonts w:ascii="Times New Roman" w:eastAsia="Times New Roman" w:hAnsi="Times New Roman" w:cs="Times New Roman"/>
          <w:sz w:val="20"/>
          <w:szCs w:val="20"/>
        </w:rPr>
        <w:t xml:space="preserve">For a useful review of the scholarly conversation on the fidelity of such reports, please see Hahn and </w:t>
      </w:r>
      <w:proofErr w:type="spellStart"/>
      <w:r>
        <w:rPr>
          <w:rFonts w:ascii="Times New Roman" w:eastAsia="Times New Roman" w:hAnsi="Times New Roman" w:cs="Times New Roman"/>
          <w:sz w:val="20"/>
          <w:szCs w:val="20"/>
        </w:rPr>
        <w:t>Kühnen</w:t>
      </w:r>
      <w:proofErr w:type="spellEnd"/>
      <w:r>
        <w:rPr>
          <w:rFonts w:ascii="Times New Roman" w:eastAsia="Times New Roman" w:hAnsi="Times New Roman" w:cs="Times New Roman"/>
          <w:sz w:val="20"/>
          <w:szCs w:val="20"/>
        </w:rPr>
        <w:t>, 2013.</w:t>
      </w:r>
    </w:p>
  </w:footnote>
  <w:footnote w:id="8">
    <w:p w14:paraId="0FC3FA79" w14:textId="77777777" w:rsidR="0030333D" w:rsidRDefault="00000000">
      <w:pPr>
        <w:spacing w:line="240" w:lineRule="auto"/>
        <w:rPr>
          <w:rFonts w:ascii="Times New Roman" w:eastAsia="Times New Roman" w:hAnsi="Times New Roman" w:cs="Times New Roman"/>
          <w:sz w:val="20"/>
          <w:szCs w:val="20"/>
        </w:rPr>
      </w:pPr>
      <w:r>
        <w:rPr>
          <w:rStyle w:val="Refdenotaalpie"/>
        </w:rPr>
        <w:footnoteRef/>
      </w:r>
      <w:r>
        <w:rPr>
          <w:rFonts w:ascii="Times New Roman" w:eastAsia="Times New Roman" w:hAnsi="Times New Roman" w:cs="Times New Roman"/>
          <w:sz w:val="20"/>
          <w:szCs w:val="20"/>
        </w:rPr>
        <w:t xml:space="preserve"> We are grateful to two anonymous reviewers for highlighting this limitation and suggesting it as a fruitful area for future researchers to pursue.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1F22E4" w14:textId="77777777" w:rsidR="0030333D" w:rsidRDefault="0030333D">
    <w:pPr>
      <w:pBdr>
        <w:top w:val="nil"/>
        <w:left w:val="nil"/>
        <w:bottom w:val="nil"/>
        <w:right w:val="nil"/>
        <w:between w:val="nil"/>
      </w:pBdr>
      <w:tabs>
        <w:tab w:val="center" w:pos="4680"/>
        <w:tab w:val="right" w:pos="9360"/>
      </w:tabs>
      <w:spacing w:line="240" w:lineRule="auto"/>
      <w:jc w:val="right"/>
      <w:rPr>
        <w:rFonts w:ascii="Times New Roman" w:eastAsia="Times New Roman" w:hAnsi="Times New Roman" w:cs="Times New Roman"/>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4EF10D" w14:textId="77777777" w:rsidR="0030333D" w:rsidRDefault="0030333D">
    <w:pPr>
      <w:pBdr>
        <w:top w:val="nil"/>
        <w:left w:val="nil"/>
        <w:bottom w:val="nil"/>
        <w:right w:val="nil"/>
        <w:between w:val="nil"/>
      </w:pBdr>
      <w:tabs>
        <w:tab w:val="center" w:pos="4680"/>
        <w:tab w:val="right" w:pos="9360"/>
      </w:tabs>
      <w:spacing w:line="240" w:lineRule="auto"/>
      <w:jc w:val="right"/>
      <w:rPr>
        <w:rFonts w:ascii="Times New Roman" w:eastAsia="Times New Roman" w:hAnsi="Times New Roman" w:cs="Times New Roman"/>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333D"/>
    <w:rsid w:val="0030333D"/>
    <w:rsid w:val="0035353C"/>
    <w:rsid w:val="0070212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B22A76"/>
  <w15:docId w15:val="{994E654F-19F3-4C97-9EC0-B0080A2A01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s-E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5F10"/>
  </w:style>
  <w:style w:type="paragraph" w:styleId="Ttulo1">
    <w:name w:val="heading 1"/>
    <w:basedOn w:val="Normal"/>
    <w:next w:val="Normal"/>
    <w:link w:val="Ttulo1Car"/>
    <w:uiPriority w:val="9"/>
    <w:qFormat/>
    <w:rsid w:val="00855F10"/>
    <w:pPr>
      <w:keepNext/>
      <w:keepLines/>
      <w:spacing w:before="400" w:after="120"/>
      <w:outlineLvl w:val="0"/>
    </w:pPr>
    <w:rPr>
      <w:sz w:val="40"/>
      <w:szCs w:val="40"/>
    </w:rPr>
  </w:style>
  <w:style w:type="paragraph" w:styleId="Ttulo2">
    <w:name w:val="heading 2"/>
    <w:basedOn w:val="Normal"/>
    <w:next w:val="Normal"/>
    <w:link w:val="Ttulo2Car"/>
    <w:uiPriority w:val="9"/>
    <w:semiHidden/>
    <w:unhideWhenUsed/>
    <w:qFormat/>
    <w:rsid w:val="00855F10"/>
    <w:pPr>
      <w:keepNext/>
      <w:keepLines/>
      <w:spacing w:before="360" w:after="120"/>
      <w:outlineLvl w:val="1"/>
    </w:pPr>
    <w:rPr>
      <w:sz w:val="32"/>
      <w:szCs w:val="32"/>
    </w:rPr>
  </w:style>
  <w:style w:type="paragraph" w:styleId="Ttulo3">
    <w:name w:val="heading 3"/>
    <w:basedOn w:val="Normal"/>
    <w:next w:val="Normal"/>
    <w:link w:val="Ttulo3Car"/>
    <w:uiPriority w:val="9"/>
    <w:semiHidden/>
    <w:unhideWhenUsed/>
    <w:qFormat/>
    <w:rsid w:val="00855F10"/>
    <w:pPr>
      <w:keepNext/>
      <w:keepLines/>
      <w:spacing w:before="320" w:after="80"/>
      <w:outlineLvl w:val="2"/>
    </w:pPr>
    <w:rPr>
      <w:color w:val="434343"/>
      <w:sz w:val="28"/>
      <w:szCs w:val="28"/>
    </w:rPr>
  </w:style>
  <w:style w:type="paragraph" w:styleId="Ttulo4">
    <w:name w:val="heading 4"/>
    <w:basedOn w:val="Normal"/>
    <w:next w:val="Normal"/>
    <w:link w:val="Ttulo4Car"/>
    <w:uiPriority w:val="9"/>
    <w:semiHidden/>
    <w:unhideWhenUsed/>
    <w:qFormat/>
    <w:rsid w:val="00855F10"/>
    <w:pPr>
      <w:keepNext/>
      <w:keepLines/>
      <w:spacing w:before="280" w:after="80"/>
      <w:outlineLvl w:val="3"/>
    </w:pPr>
    <w:rPr>
      <w:color w:val="666666"/>
      <w:sz w:val="24"/>
      <w:szCs w:val="24"/>
    </w:rPr>
  </w:style>
  <w:style w:type="paragraph" w:styleId="Ttulo5">
    <w:name w:val="heading 5"/>
    <w:basedOn w:val="Normal"/>
    <w:next w:val="Normal"/>
    <w:link w:val="Ttulo5Car"/>
    <w:uiPriority w:val="9"/>
    <w:semiHidden/>
    <w:unhideWhenUsed/>
    <w:qFormat/>
    <w:rsid w:val="00855F10"/>
    <w:pPr>
      <w:keepNext/>
      <w:keepLines/>
      <w:spacing w:before="240" w:after="80"/>
      <w:outlineLvl w:val="4"/>
    </w:pPr>
    <w:rPr>
      <w:color w:val="666666"/>
    </w:rPr>
  </w:style>
  <w:style w:type="paragraph" w:styleId="Ttulo6">
    <w:name w:val="heading 6"/>
    <w:basedOn w:val="Normal"/>
    <w:next w:val="Normal"/>
    <w:link w:val="Ttulo6Car"/>
    <w:uiPriority w:val="9"/>
    <w:semiHidden/>
    <w:unhideWhenUsed/>
    <w:qFormat/>
    <w:rsid w:val="00855F10"/>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ar"/>
    <w:uiPriority w:val="10"/>
    <w:qFormat/>
    <w:rsid w:val="00855F10"/>
    <w:pPr>
      <w:keepNext/>
      <w:keepLines/>
      <w:spacing w:after="60"/>
    </w:pPr>
    <w:rPr>
      <w:sz w:val="52"/>
      <w:szCs w:val="52"/>
    </w:rPr>
  </w:style>
  <w:style w:type="table" w:customStyle="1" w:styleId="TableNormal1">
    <w:name w:val="Table Normal1"/>
    <w:tblPr>
      <w:tblCellMar>
        <w:top w:w="0" w:type="dxa"/>
        <w:left w:w="0" w:type="dxa"/>
        <w:bottom w:w="0" w:type="dxa"/>
        <w:right w:w="0" w:type="dxa"/>
      </w:tblCellMar>
    </w:tblPr>
  </w:style>
  <w:style w:type="character" w:customStyle="1" w:styleId="Ttulo1Car">
    <w:name w:val="Título 1 Car"/>
    <w:basedOn w:val="Fuentedeprrafopredeter"/>
    <w:link w:val="Ttulo1"/>
    <w:uiPriority w:val="9"/>
    <w:rsid w:val="00855F10"/>
    <w:rPr>
      <w:rFonts w:ascii="Arial" w:eastAsia="Arial" w:hAnsi="Arial" w:cs="Arial"/>
      <w:kern w:val="0"/>
      <w:sz w:val="40"/>
      <w:szCs w:val="40"/>
      <w:lang w:val="en"/>
    </w:rPr>
  </w:style>
  <w:style w:type="character" w:customStyle="1" w:styleId="Ttulo2Car">
    <w:name w:val="Título 2 Car"/>
    <w:basedOn w:val="Fuentedeprrafopredeter"/>
    <w:link w:val="Ttulo2"/>
    <w:uiPriority w:val="9"/>
    <w:semiHidden/>
    <w:rsid w:val="00855F10"/>
    <w:rPr>
      <w:rFonts w:ascii="Arial" w:eastAsia="Arial" w:hAnsi="Arial" w:cs="Arial"/>
      <w:kern w:val="0"/>
      <w:sz w:val="32"/>
      <w:szCs w:val="32"/>
      <w:lang w:val="en"/>
    </w:rPr>
  </w:style>
  <w:style w:type="character" w:customStyle="1" w:styleId="Ttulo3Car">
    <w:name w:val="Título 3 Car"/>
    <w:basedOn w:val="Fuentedeprrafopredeter"/>
    <w:link w:val="Ttulo3"/>
    <w:uiPriority w:val="9"/>
    <w:semiHidden/>
    <w:rsid w:val="00855F10"/>
    <w:rPr>
      <w:rFonts w:ascii="Arial" w:eastAsia="Arial" w:hAnsi="Arial" w:cs="Arial"/>
      <w:color w:val="434343"/>
      <w:kern w:val="0"/>
      <w:sz w:val="28"/>
      <w:szCs w:val="28"/>
      <w:lang w:val="en"/>
    </w:rPr>
  </w:style>
  <w:style w:type="character" w:customStyle="1" w:styleId="Ttulo4Car">
    <w:name w:val="Título 4 Car"/>
    <w:basedOn w:val="Fuentedeprrafopredeter"/>
    <w:link w:val="Ttulo4"/>
    <w:uiPriority w:val="9"/>
    <w:semiHidden/>
    <w:rsid w:val="00855F10"/>
    <w:rPr>
      <w:rFonts w:ascii="Arial" w:eastAsia="Arial" w:hAnsi="Arial" w:cs="Arial"/>
      <w:color w:val="666666"/>
      <w:kern w:val="0"/>
      <w:sz w:val="24"/>
      <w:szCs w:val="24"/>
      <w:lang w:val="en"/>
    </w:rPr>
  </w:style>
  <w:style w:type="character" w:customStyle="1" w:styleId="Ttulo5Car">
    <w:name w:val="Título 5 Car"/>
    <w:basedOn w:val="Fuentedeprrafopredeter"/>
    <w:link w:val="Ttulo5"/>
    <w:uiPriority w:val="9"/>
    <w:semiHidden/>
    <w:rsid w:val="00855F10"/>
    <w:rPr>
      <w:rFonts w:ascii="Arial" w:eastAsia="Arial" w:hAnsi="Arial" w:cs="Arial"/>
      <w:color w:val="666666"/>
      <w:kern w:val="0"/>
      <w:lang w:val="en"/>
    </w:rPr>
  </w:style>
  <w:style w:type="character" w:customStyle="1" w:styleId="Ttulo6Car">
    <w:name w:val="Título 6 Car"/>
    <w:basedOn w:val="Fuentedeprrafopredeter"/>
    <w:link w:val="Ttulo6"/>
    <w:uiPriority w:val="9"/>
    <w:semiHidden/>
    <w:rsid w:val="00855F10"/>
    <w:rPr>
      <w:rFonts w:ascii="Arial" w:eastAsia="Arial" w:hAnsi="Arial" w:cs="Arial"/>
      <w:i/>
      <w:color w:val="666666"/>
      <w:kern w:val="0"/>
      <w:lang w:val="en"/>
    </w:rPr>
  </w:style>
  <w:style w:type="character" w:customStyle="1" w:styleId="TtuloCar">
    <w:name w:val="Título Car"/>
    <w:basedOn w:val="Fuentedeprrafopredeter"/>
    <w:link w:val="Ttulo"/>
    <w:uiPriority w:val="10"/>
    <w:rsid w:val="00855F10"/>
    <w:rPr>
      <w:rFonts w:ascii="Arial" w:eastAsia="Arial" w:hAnsi="Arial" w:cs="Arial"/>
      <w:kern w:val="0"/>
      <w:sz w:val="52"/>
      <w:szCs w:val="52"/>
      <w:lang w:val="en"/>
    </w:rPr>
  </w:style>
  <w:style w:type="table" w:customStyle="1" w:styleId="TableNormal11">
    <w:name w:val="Table Normal11"/>
    <w:rsid w:val="00855F10"/>
    <w:tblPr>
      <w:tblCellMar>
        <w:top w:w="0" w:type="dxa"/>
        <w:left w:w="0" w:type="dxa"/>
        <w:bottom w:w="0" w:type="dxa"/>
        <w:right w:w="0" w:type="dxa"/>
      </w:tblCellMar>
    </w:tblPr>
  </w:style>
  <w:style w:type="table" w:customStyle="1" w:styleId="TableNormal2">
    <w:name w:val="Table Normal2"/>
    <w:rsid w:val="00855F10"/>
    <w:tblPr>
      <w:tblCellMar>
        <w:top w:w="0" w:type="dxa"/>
        <w:left w:w="0" w:type="dxa"/>
        <w:bottom w:w="0" w:type="dxa"/>
        <w:right w:w="0" w:type="dxa"/>
      </w:tblCellMar>
    </w:tblPr>
  </w:style>
  <w:style w:type="table" w:customStyle="1" w:styleId="TableNormal3">
    <w:name w:val="Table Normal3"/>
    <w:rsid w:val="00855F10"/>
    <w:tblPr>
      <w:tblCellMar>
        <w:top w:w="0" w:type="dxa"/>
        <w:left w:w="0" w:type="dxa"/>
        <w:bottom w:w="0" w:type="dxa"/>
        <w:right w:w="0" w:type="dxa"/>
      </w:tblCellMar>
    </w:tblPr>
  </w:style>
  <w:style w:type="table" w:customStyle="1" w:styleId="TableNormal4">
    <w:name w:val="Table Normal4"/>
    <w:rsid w:val="00855F10"/>
    <w:tblPr>
      <w:tblCellMar>
        <w:top w:w="0" w:type="dxa"/>
        <w:left w:w="0" w:type="dxa"/>
        <w:bottom w:w="0" w:type="dxa"/>
        <w:right w:w="0" w:type="dxa"/>
      </w:tblCellMar>
    </w:tblPr>
  </w:style>
  <w:style w:type="table" w:customStyle="1" w:styleId="TableNormal5">
    <w:name w:val="Table Normal5"/>
    <w:rsid w:val="00855F10"/>
    <w:tblPr>
      <w:tblCellMar>
        <w:top w:w="0" w:type="dxa"/>
        <w:left w:w="0" w:type="dxa"/>
        <w:bottom w:w="0" w:type="dxa"/>
        <w:right w:w="0" w:type="dxa"/>
      </w:tblCellMar>
    </w:tblPr>
  </w:style>
  <w:style w:type="table" w:customStyle="1" w:styleId="TableNormal10">
    <w:name w:val="Table Normal1_0"/>
    <w:rsid w:val="00855F10"/>
    <w:tblPr>
      <w:tblCellMar>
        <w:top w:w="0" w:type="dxa"/>
        <w:left w:w="0" w:type="dxa"/>
        <w:bottom w:w="0" w:type="dxa"/>
        <w:right w:w="0" w:type="dxa"/>
      </w:tblCellMar>
    </w:tblPr>
  </w:style>
  <w:style w:type="table" w:customStyle="1" w:styleId="TableNormal110">
    <w:name w:val="Table Normal1_1"/>
    <w:rsid w:val="00855F10"/>
    <w:tblPr>
      <w:tblCellMar>
        <w:top w:w="0" w:type="dxa"/>
        <w:left w:w="0" w:type="dxa"/>
        <w:bottom w:w="0" w:type="dxa"/>
        <w:right w:w="0" w:type="dxa"/>
      </w:tblCellMar>
    </w:tblPr>
  </w:style>
  <w:style w:type="paragraph" w:styleId="Subttulo">
    <w:name w:val="Subtitle"/>
    <w:basedOn w:val="Normal"/>
    <w:next w:val="Normal"/>
    <w:link w:val="SubttuloCar"/>
    <w:uiPriority w:val="11"/>
    <w:qFormat/>
    <w:pPr>
      <w:keepNext/>
      <w:keepLines/>
      <w:spacing w:after="320"/>
    </w:pPr>
    <w:rPr>
      <w:color w:val="666666"/>
      <w:sz w:val="30"/>
      <w:szCs w:val="30"/>
    </w:rPr>
  </w:style>
  <w:style w:type="character" w:customStyle="1" w:styleId="SubttuloCar">
    <w:name w:val="Subtítulo Car"/>
    <w:basedOn w:val="Fuentedeprrafopredeter"/>
    <w:link w:val="Subttulo"/>
    <w:uiPriority w:val="11"/>
    <w:rsid w:val="00855F10"/>
    <w:rPr>
      <w:rFonts w:ascii="Arial" w:eastAsia="Arial" w:hAnsi="Arial" w:cs="Arial"/>
      <w:color w:val="666666"/>
      <w:kern w:val="0"/>
      <w:sz w:val="30"/>
      <w:szCs w:val="30"/>
      <w:lang w:val="en"/>
    </w:rPr>
  </w:style>
  <w:style w:type="character" w:styleId="Refdecomentario">
    <w:name w:val="annotation reference"/>
    <w:basedOn w:val="Fuentedeprrafopredeter"/>
    <w:uiPriority w:val="99"/>
    <w:semiHidden/>
    <w:unhideWhenUsed/>
    <w:rsid w:val="00855F10"/>
    <w:rPr>
      <w:sz w:val="16"/>
      <w:szCs w:val="16"/>
    </w:rPr>
  </w:style>
  <w:style w:type="paragraph" w:styleId="Textocomentario">
    <w:name w:val="annotation text"/>
    <w:basedOn w:val="Normal"/>
    <w:link w:val="TextocomentarioCar"/>
    <w:uiPriority w:val="99"/>
    <w:unhideWhenUsed/>
    <w:rsid w:val="00855F10"/>
    <w:pPr>
      <w:spacing w:line="240" w:lineRule="auto"/>
    </w:pPr>
    <w:rPr>
      <w:sz w:val="20"/>
      <w:szCs w:val="20"/>
    </w:rPr>
  </w:style>
  <w:style w:type="character" w:customStyle="1" w:styleId="TextocomentarioCar">
    <w:name w:val="Texto comentario Car"/>
    <w:basedOn w:val="Fuentedeprrafopredeter"/>
    <w:link w:val="Textocomentario"/>
    <w:uiPriority w:val="99"/>
    <w:rsid w:val="00855F10"/>
    <w:rPr>
      <w:rFonts w:ascii="Arial" w:eastAsia="Arial" w:hAnsi="Arial" w:cs="Arial"/>
      <w:kern w:val="0"/>
      <w:sz w:val="20"/>
      <w:szCs w:val="20"/>
      <w:lang w:val="en"/>
    </w:rPr>
  </w:style>
  <w:style w:type="paragraph" w:styleId="Asuntodelcomentario">
    <w:name w:val="annotation subject"/>
    <w:basedOn w:val="Textocomentario"/>
    <w:next w:val="Textocomentario"/>
    <w:link w:val="AsuntodelcomentarioCar"/>
    <w:uiPriority w:val="99"/>
    <w:semiHidden/>
    <w:unhideWhenUsed/>
    <w:rsid w:val="00855F10"/>
    <w:rPr>
      <w:b/>
      <w:bCs/>
    </w:rPr>
  </w:style>
  <w:style w:type="character" w:customStyle="1" w:styleId="AsuntodelcomentarioCar">
    <w:name w:val="Asunto del comentario Car"/>
    <w:basedOn w:val="TextocomentarioCar"/>
    <w:link w:val="Asuntodelcomentario"/>
    <w:uiPriority w:val="99"/>
    <w:semiHidden/>
    <w:rsid w:val="00855F10"/>
    <w:rPr>
      <w:rFonts w:ascii="Arial" w:eastAsia="Arial" w:hAnsi="Arial" w:cs="Arial"/>
      <w:b/>
      <w:bCs/>
      <w:kern w:val="0"/>
      <w:sz w:val="20"/>
      <w:szCs w:val="20"/>
      <w:lang w:val="en"/>
    </w:rPr>
  </w:style>
  <w:style w:type="character" w:customStyle="1" w:styleId="TextosinformatoCar">
    <w:name w:val="Texto sin formato Car"/>
    <w:basedOn w:val="Fuentedeprrafopredeter"/>
    <w:link w:val="Textosinformato"/>
    <w:uiPriority w:val="99"/>
    <w:rsid w:val="00855F10"/>
    <w:rPr>
      <w:rFonts w:ascii="Calibri" w:hAnsi="Calibri"/>
      <w:szCs w:val="21"/>
      <w:lang w:val="es-ES"/>
    </w:rPr>
  </w:style>
  <w:style w:type="paragraph" w:styleId="Textosinformato">
    <w:name w:val="Plain Text"/>
    <w:basedOn w:val="Normal"/>
    <w:link w:val="TextosinformatoCar"/>
    <w:uiPriority w:val="99"/>
    <w:unhideWhenUsed/>
    <w:rsid w:val="00855F10"/>
    <w:pPr>
      <w:spacing w:line="240" w:lineRule="auto"/>
    </w:pPr>
    <w:rPr>
      <w:rFonts w:ascii="Calibri" w:eastAsiaTheme="minorHAnsi" w:hAnsi="Calibri" w:cstheme="minorBidi"/>
      <w:kern w:val="2"/>
      <w:szCs w:val="21"/>
      <w:lang w:val="es-ES"/>
    </w:rPr>
  </w:style>
  <w:style w:type="character" w:customStyle="1" w:styleId="PlainTextChar1">
    <w:name w:val="Plain Text Char1"/>
    <w:basedOn w:val="Fuentedeprrafopredeter"/>
    <w:uiPriority w:val="99"/>
    <w:semiHidden/>
    <w:rsid w:val="00855F10"/>
    <w:rPr>
      <w:rFonts w:ascii="Consolas" w:eastAsia="Arial" w:hAnsi="Consolas" w:cs="Arial"/>
      <w:kern w:val="0"/>
      <w:sz w:val="21"/>
      <w:szCs w:val="21"/>
      <w:lang w:val="en"/>
    </w:rPr>
  </w:style>
  <w:style w:type="paragraph" w:styleId="Prrafodelista">
    <w:name w:val="List Paragraph"/>
    <w:basedOn w:val="Normal"/>
    <w:uiPriority w:val="34"/>
    <w:qFormat/>
    <w:rsid w:val="00855F10"/>
    <w:pPr>
      <w:ind w:left="720"/>
      <w:contextualSpacing/>
    </w:pPr>
  </w:style>
  <w:style w:type="paragraph" w:styleId="Piedepgina">
    <w:name w:val="footer"/>
    <w:basedOn w:val="Normal"/>
    <w:link w:val="PiedepginaCar"/>
    <w:uiPriority w:val="99"/>
    <w:unhideWhenUsed/>
    <w:rsid w:val="00855F10"/>
    <w:pPr>
      <w:tabs>
        <w:tab w:val="center" w:pos="4680"/>
        <w:tab w:val="right" w:pos="9360"/>
      </w:tabs>
      <w:spacing w:line="240" w:lineRule="auto"/>
    </w:pPr>
  </w:style>
  <w:style w:type="character" w:customStyle="1" w:styleId="PiedepginaCar">
    <w:name w:val="Pie de página Car"/>
    <w:basedOn w:val="Fuentedeprrafopredeter"/>
    <w:link w:val="Piedepgina"/>
    <w:uiPriority w:val="99"/>
    <w:rsid w:val="00855F10"/>
    <w:rPr>
      <w:rFonts w:ascii="Arial" w:eastAsia="Arial" w:hAnsi="Arial" w:cs="Arial"/>
      <w:kern w:val="0"/>
      <w:lang w:val="en"/>
    </w:rPr>
  </w:style>
  <w:style w:type="character" w:styleId="Nmerodepgina">
    <w:name w:val="page number"/>
    <w:basedOn w:val="Fuentedeprrafopredeter"/>
    <w:uiPriority w:val="99"/>
    <w:semiHidden/>
    <w:unhideWhenUsed/>
    <w:rsid w:val="00855F10"/>
  </w:style>
  <w:style w:type="paragraph" w:styleId="Encabezado">
    <w:name w:val="header"/>
    <w:basedOn w:val="Normal"/>
    <w:link w:val="EncabezadoCar"/>
    <w:uiPriority w:val="99"/>
    <w:unhideWhenUsed/>
    <w:rsid w:val="00855F10"/>
    <w:pPr>
      <w:tabs>
        <w:tab w:val="center" w:pos="4680"/>
        <w:tab w:val="right" w:pos="9360"/>
      </w:tabs>
      <w:spacing w:line="240" w:lineRule="auto"/>
    </w:pPr>
  </w:style>
  <w:style w:type="character" w:customStyle="1" w:styleId="EncabezadoCar">
    <w:name w:val="Encabezado Car"/>
    <w:basedOn w:val="Fuentedeprrafopredeter"/>
    <w:link w:val="Encabezado"/>
    <w:uiPriority w:val="99"/>
    <w:rsid w:val="00855F10"/>
    <w:rPr>
      <w:rFonts w:ascii="Arial" w:eastAsia="Arial" w:hAnsi="Arial" w:cs="Arial"/>
      <w:kern w:val="0"/>
      <w:lang w:val="en"/>
    </w:rPr>
  </w:style>
  <w:style w:type="paragraph" w:styleId="Revisin">
    <w:name w:val="Revision"/>
    <w:hidden/>
    <w:uiPriority w:val="99"/>
    <w:semiHidden/>
    <w:rsid w:val="00855F10"/>
    <w:pPr>
      <w:spacing w:line="240" w:lineRule="auto"/>
    </w:pPr>
  </w:style>
  <w:style w:type="paragraph" w:styleId="Textonotapie">
    <w:name w:val="footnote text"/>
    <w:basedOn w:val="Normal"/>
    <w:link w:val="TextonotapieCar"/>
    <w:uiPriority w:val="99"/>
    <w:semiHidden/>
    <w:unhideWhenUsed/>
    <w:rsid w:val="00855F10"/>
    <w:pPr>
      <w:spacing w:line="240" w:lineRule="auto"/>
    </w:pPr>
    <w:rPr>
      <w:sz w:val="20"/>
      <w:szCs w:val="20"/>
    </w:rPr>
  </w:style>
  <w:style w:type="character" w:customStyle="1" w:styleId="TextonotapieCar">
    <w:name w:val="Texto nota pie Car"/>
    <w:basedOn w:val="Fuentedeprrafopredeter"/>
    <w:link w:val="Textonotapie"/>
    <w:uiPriority w:val="99"/>
    <w:semiHidden/>
    <w:rsid w:val="00855F10"/>
    <w:rPr>
      <w:rFonts w:ascii="Arial" w:eastAsia="Arial" w:hAnsi="Arial" w:cs="Arial"/>
      <w:kern w:val="0"/>
      <w:sz w:val="20"/>
      <w:szCs w:val="20"/>
      <w:lang w:val="en"/>
    </w:rPr>
  </w:style>
  <w:style w:type="character" w:styleId="Refdenotaalpie">
    <w:name w:val="footnote reference"/>
    <w:basedOn w:val="Fuentedeprrafopredeter"/>
    <w:uiPriority w:val="99"/>
    <w:semiHidden/>
    <w:unhideWhenUsed/>
    <w:rsid w:val="00855F10"/>
    <w:rPr>
      <w:vertAlign w:val="superscript"/>
    </w:rPr>
  </w:style>
  <w:style w:type="table" w:customStyle="1" w:styleId="a">
    <w:name w:val="a"/>
    <w:basedOn w:val="Tablanormal"/>
    <w:rsid w:val="00855F10"/>
    <w:tblPr>
      <w:tblStyleRowBandSize w:val="1"/>
      <w:tblStyleColBandSize w:val="1"/>
      <w:tblCellMar>
        <w:left w:w="115" w:type="dxa"/>
        <w:right w:w="115" w:type="dxa"/>
      </w:tblCellMar>
    </w:tblPr>
  </w:style>
  <w:style w:type="table" w:customStyle="1" w:styleId="a0">
    <w:name w:val="a0"/>
    <w:basedOn w:val="Tablanormal"/>
    <w:rsid w:val="00855F10"/>
    <w:tblPr>
      <w:tblStyleRowBandSize w:val="1"/>
      <w:tblStyleColBandSize w:val="1"/>
      <w:tblCellMar>
        <w:left w:w="115" w:type="dxa"/>
        <w:right w:w="115" w:type="dxa"/>
      </w:tblCellMar>
    </w:tblPr>
  </w:style>
  <w:style w:type="table" w:customStyle="1" w:styleId="a1">
    <w:name w:val="a1"/>
    <w:basedOn w:val="Tablanormal"/>
    <w:rsid w:val="00855F10"/>
    <w:tblPr>
      <w:tblStyleRowBandSize w:val="1"/>
      <w:tblStyleColBandSize w:val="1"/>
      <w:tblCellMar>
        <w:left w:w="115" w:type="dxa"/>
        <w:right w:w="115" w:type="dxa"/>
      </w:tblCellMar>
    </w:tblPr>
  </w:style>
  <w:style w:type="table" w:customStyle="1" w:styleId="a2">
    <w:name w:val="a2"/>
    <w:basedOn w:val="Tablanormal"/>
    <w:rsid w:val="00855F10"/>
    <w:tblPr>
      <w:tblStyleRowBandSize w:val="1"/>
      <w:tblStyleColBandSize w:val="1"/>
      <w:tblCellMar>
        <w:left w:w="115" w:type="dxa"/>
        <w:right w:w="115" w:type="dxa"/>
      </w:tblCellMar>
    </w:tblPr>
  </w:style>
  <w:style w:type="table" w:customStyle="1" w:styleId="a3">
    <w:name w:val="a3"/>
    <w:basedOn w:val="Tablanormal"/>
    <w:rsid w:val="00855F10"/>
    <w:tblPr>
      <w:tblStyleRowBandSize w:val="1"/>
      <w:tblStyleColBandSize w:val="1"/>
      <w:tblCellMar>
        <w:left w:w="115" w:type="dxa"/>
        <w:right w:w="115" w:type="dxa"/>
      </w:tblCellMar>
    </w:tblPr>
  </w:style>
  <w:style w:type="table" w:customStyle="1" w:styleId="a4">
    <w:name w:val="a4"/>
    <w:basedOn w:val="Tablanormal"/>
    <w:rsid w:val="00855F10"/>
    <w:tblPr>
      <w:tblStyleRowBandSize w:val="1"/>
      <w:tblStyleColBandSize w:val="1"/>
      <w:tblCellMar>
        <w:left w:w="70" w:type="dxa"/>
        <w:right w:w="70" w:type="dxa"/>
      </w:tblCellMar>
    </w:tblPr>
  </w:style>
  <w:style w:type="table" w:customStyle="1" w:styleId="a5">
    <w:name w:val="a5"/>
    <w:basedOn w:val="Tablanormal"/>
    <w:rsid w:val="00855F10"/>
    <w:tblPr>
      <w:tblStyleRowBandSize w:val="1"/>
      <w:tblStyleColBandSize w:val="1"/>
      <w:tblCellMar>
        <w:left w:w="70" w:type="dxa"/>
        <w:right w:w="70" w:type="dxa"/>
      </w:tblCellMar>
    </w:tblPr>
  </w:style>
  <w:style w:type="table" w:customStyle="1" w:styleId="a6">
    <w:name w:val="a6"/>
    <w:basedOn w:val="TableNormal110"/>
    <w:rsid w:val="00855F10"/>
    <w:tblPr>
      <w:tblStyleRowBandSize w:val="1"/>
      <w:tblStyleColBandSize w:val="1"/>
      <w:tblCellMar>
        <w:left w:w="70" w:type="dxa"/>
        <w:right w:w="70" w:type="dxa"/>
      </w:tblCellMar>
    </w:tblPr>
  </w:style>
  <w:style w:type="table" w:customStyle="1" w:styleId="a7">
    <w:name w:val="a7"/>
    <w:basedOn w:val="TableNormal110"/>
    <w:rsid w:val="00855F10"/>
    <w:tblPr>
      <w:tblStyleRowBandSize w:val="1"/>
      <w:tblStyleColBandSize w:val="1"/>
      <w:tblCellMar>
        <w:left w:w="70" w:type="dxa"/>
        <w:right w:w="70" w:type="dxa"/>
      </w:tblCellMar>
    </w:tblPr>
  </w:style>
  <w:style w:type="table" w:customStyle="1" w:styleId="a8">
    <w:name w:val="a8"/>
    <w:basedOn w:val="TableNormal110"/>
    <w:rsid w:val="00855F10"/>
    <w:tblPr>
      <w:tblStyleRowBandSize w:val="1"/>
      <w:tblStyleColBandSize w:val="1"/>
      <w:tblCellMar>
        <w:left w:w="70" w:type="dxa"/>
        <w:right w:w="70" w:type="dxa"/>
      </w:tblCellMar>
    </w:tblPr>
  </w:style>
  <w:style w:type="table" w:customStyle="1" w:styleId="a9">
    <w:name w:val="a9"/>
    <w:basedOn w:val="TableNormal110"/>
    <w:rsid w:val="00855F10"/>
    <w:tblPr>
      <w:tblStyleRowBandSize w:val="1"/>
      <w:tblStyleColBandSize w:val="1"/>
      <w:tblCellMar>
        <w:left w:w="70" w:type="dxa"/>
        <w:right w:w="70" w:type="dxa"/>
      </w:tblCellMar>
    </w:tblPr>
  </w:style>
  <w:style w:type="table" w:customStyle="1" w:styleId="aa">
    <w:name w:val="aa"/>
    <w:basedOn w:val="TableNormal110"/>
    <w:rsid w:val="00855F10"/>
    <w:tblPr>
      <w:tblStyleRowBandSize w:val="1"/>
      <w:tblStyleColBandSize w:val="1"/>
      <w:tblCellMar>
        <w:left w:w="70" w:type="dxa"/>
        <w:right w:w="70" w:type="dxa"/>
      </w:tblCellMar>
    </w:tblPr>
  </w:style>
  <w:style w:type="table" w:customStyle="1" w:styleId="ab">
    <w:name w:val="ab"/>
    <w:basedOn w:val="TableNormal110"/>
    <w:rsid w:val="00855F10"/>
    <w:tblPr>
      <w:tblStyleRowBandSize w:val="1"/>
      <w:tblStyleColBandSize w:val="1"/>
      <w:tblCellMar>
        <w:left w:w="70" w:type="dxa"/>
        <w:right w:w="70" w:type="dxa"/>
      </w:tblCellMar>
    </w:tblPr>
  </w:style>
  <w:style w:type="table" w:customStyle="1" w:styleId="ac">
    <w:name w:val="ac"/>
    <w:basedOn w:val="TableNormal110"/>
    <w:rsid w:val="00855F10"/>
    <w:tblPr>
      <w:tblStyleRowBandSize w:val="1"/>
      <w:tblStyleColBandSize w:val="1"/>
      <w:tblCellMar>
        <w:left w:w="70" w:type="dxa"/>
        <w:right w:w="70" w:type="dxa"/>
      </w:tblCellMar>
    </w:tblPr>
  </w:style>
  <w:style w:type="paragraph" w:styleId="Textodeglobo">
    <w:name w:val="Balloon Text"/>
    <w:basedOn w:val="Normal"/>
    <w:link w:val="TextodegloboCar"/>
    <w:uiPriority w:val="99"/>
    <w:semiHidden/>
    <w:unhideWhenUsed/>
    <w:rsid w:val="00855F10"/>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55F10"/>
    <w:rPr>
      <w:rFonts w:ascii="Segoe UI" w:eastAsia="Arial" w:hAnsi="Segoe UI" w:cs="Segoe UI"/>
      <w:kern w:val="0"/>
      <w:sz w:val="18"/>
      <w:szCs w:val="18"/>
      <w:lang w:val="en"/>
    </w:rPr>
  </w:style>
  <w:style w:type="table" w:customStyle="1" w:styleId="ad">
    <w:name w:val="ad"/>
    <w:basedOn w:val="Tablanormal"/>
    <w:rsid w:val="00855F10"/>
    <w:tblPr>
      <w:tblStyleRowBandSize w:val="1"/>
      <w:tblStyleColBandSize w:val="1"/>
      <w:tblCellMar>
        <w:left w:w="70" w:type="dxa"/>
        <w:right w:w="70" w:type="dxa"/>
      </w:tblCellMar>
    </w:tblPr>
  </w:style>
  <w:style w:type="table" w:customStyle="1" w:styleId="ae">
    <w:name w:val="ae"/>
    <w:basedOn w:val="Tablanormal"/>
    <w:rsid w:val="00855F10"/>
    <w:tblPr>
      <w:tblStyleRowBandSize w:val="1"/>
      <w:tblStyleColBandSize w:val="1"/>
      <w:tblCellMar>
        <w:left w:w="70" w:type="dxa"/>
        <w:right w:w="70" w:type="dxa"/>
      </w:tblCellMar>
    </w:tblPr>
  </w:style>
  <w:style w:type="table" w:customStyle="1" w:styleId="af">
    <w:name w:val="af"/>
    <w:basedOn w:val="Tablanormal"/>
    <w:rsid w:val="00855F10"/>
    <w:tblPr>
      <w:tblStyleRowBandSize w:val="1"/>
      <w:tblStyleColBandSize w:val="1"/>
      <w:tblCellMar>
        <w:left w:w="70" w:type="dxa"/>
        <w:right w:w="70" w:type="dxa"/>
      </w:tblCellMar>
    </w:tblPr>
  </w:style>
  <w:style w:type="table" w:customStyle="1" w:styleId="af0">
    <w:name w:val="af0"/>
    <w:basedOn w:val="Tablanormal"/>
    <w:rsid w:val="00855F10"/>
    <w:tblPr>
      <w:tblStyleRowBandSize w:val="1"/>
      <w:tblStyleColBandSize w:val="1"/>
      <w:tblCellMar>
        <w:left w:w="70" w:type="dxa"/>
        <w:right w:w="70" w:type="dxa"/>
      </w:tblCellMar>
    </w:tblPr>
  </w:style>
  <w:style w:type="table" w:customStyle="1" w:styleId="af1">
    <w:name w:val="af1"/>
    <w:basedOn w:val="Tablanormal"/>
    <w:rsid w:val="00855F10"/>
    <w:tblPr>
      <w:tblStyleRowBandSize w:val="1"/>
      <w:tblStyleColBandSize w:val="1"/>
      <w:tblCellMar>
        <w:left w:w="70" w:type="dxa"/>
        <w:right w:w="70" w:type="dxa"/>
      </w:tblCellMar>
    </w:tblPr>
  </w:style>
  <w:style w:type="table" w:customStyle="1" w:styleId="af2">
    <w:name w:val="af2"/>
    <w:basedOn w:val="Tablanormal"/>
    <w:rsid w:val="00855F10"/>
    <w:tblPr>
      <w:tblStyleRowBandSize w:val="1"/>
      <w:tblStyleColBandSize w:val="1"/>
      <w:tblCellMar>
        <w:left w:w="70" w:type="dxa"/>
        <w:right w:w="70" w:type="dxa"/>
      </w:tblCellMar>
    </w:tblPr>
  </w:style>
  <w:style w:type="table" w:customStyle="1" w:styleId="af3">
    <w:name w:val="af3"/>
    <w:basedOn w:val="Tablanormal"/>
    <w:rsid w:val="00855F10"/>
    <w:tblPr>
      <w:tblStyleRowBandSize w:val="1"/>
      <w:tblStyleColBandSize w:val="1"/>
      <w:tblCellMar>
        <w:left w:w="70" w:type="dxa"/>
        <w:right w:w="70" w:type="dxa"/>
      </w:tblCellMar>
    </w:tblPr>
  </w:style>
  <w:style w:type="character" w:styleId="Hipervnculo">
    <w:name w:val="Hyperlink"/>
    <w:basedOn w:val="Fuentedeprrafopredeter"/>
    <w:uiPriority w:val="99"/>
    <w:unhideWhenUsed/>
    <w:rsid w:val="00855F10"/>
    <w:rPr>
      <w:color w:val="0563C1" w:themeColor="hyperlink"/>
      <w:u w:val="single"/>
    </w:rPr>
  </w:style>
  <w:style w:type="table" w:customStyle="1" w:styleId="af4">
    <w:name w:val="af4"/>
    <w:basedOn w:val="Tablanormal"/>
    <w:rsid w:val="00855F10"/>
    <w:tblPr>
      <w:tblStyleRowBandSize w:val="1"/>
      <w:tblStyleColBandSize w:val="1"/>
      <w:tblCellMar>
        <w:left w:w="70" w:type="dxa"/>
        <w:right w:w="70" w:type="dxa"/>
      </w:tblCellMar>
    </w:tblPr>
  </w:style>
  <w:style w:type="table" w:customStyle="1" w:styleId="af5">
    <w:name w:val="af5"/>
    <w:basedOn w:val="Tablanormal"/>
    <w:rsid w:val="00855F10"/>
    <w:tblPr>
      <w:tblStyleRowBandSize w:val="1"/>
      <w:tblStyleColBandSize w:val="1"/>
      <w:tblCellMar>
        <w:left w:w="70" w:type="dxa"/>
        <w:right w:w="70" w:type="dxa"/>
      </w:tblCellMar>
    </w:tblPr>
  </w:style>
  <w:style w:type="table" w:customStyle="1" w:styleId="af6">
    <w:name w:val="af6"/>
    <w:basedOn w:val="Tablanormal"/>
    <w:rsid w:val="00855F10"/>
    <w:tblPr>
      <w:tblStyleRowBandSize w:val="1"/>
      <w:tblStyleColBandSize w:val="1"/>
      <w:tblCellMar>
        <w:left w:w="70" w:type="dxa"/>
        <w:right w:w="70" w:type="dxa"/>
      </w:tblCellMar>
    </w:tblPr>
  </w:style>
  <w:style w:type="table" w:customStyle="1" w:styleId="af7">
    <w:name w:val="af7"/>
    <w:basedOn w:val="Tablanormal"/>
    <w:rsid w:val="00855F10"/>
    <w:tblPr>
      <w:tblStyleRowBandSize w:val="1"/>
      <w:tblStyleColBandSize w:val="1"/>
      <w:tblCellMar>
        <w:left w:w="70" w:type="dxa"/>
        <w:right w:w="70" w:type="dxa"/>
      </w:tblCellMar>
    </w:tblPr>
  </w:style>
  <w:style w:type="table" w:customStyle="1" w:styleId="af8">
    <w:name w:val="af8"/>
    <w:basedOn w:val="Tablanormal"/>
    <w:rsid w:val="00855F10"/>
    <w:tblPr>
      <w:tblStyleRowBandSize w:val="1"/>
      <w:tblStyleColBandSize w:val="1"/>
      <w:tblCellMar>
        <w:left w:w="115" w:type="dxa"/>
        <w:right w:w="115" w:type="dxa"/>
      </w:tblCellMar>
    </w:tblPr>
  </w:style>
  <w:style w:type="table" w:customStyle="1" w:styleId="af9">
    <w:name w:val="af9"/>
    <w:basedOn w:val="Tablanormal"/>
    <w:rsid w:val="00855F10"/>
    <w:tblPr>
      <w:tblStyleRowBandSize w:val="1"/>
      <w:tblStyleColBandSize w:val="1"/>
      <w:tblCellMar>
        <w:left w:w="70" w:type="dxa"/>
        <w:right w:w="70" w:type="dxa"/>
      </w:tblCellMar>
    </w:tblPr>
  </w:style>
  <w:style w:type="table" w:customStyle="1" w:styleId="afa">
    <w:name w:val="afa"/>
    <w:basedOn w:val="Tablanormal"/>
    <w:rsid w:val="00855F10"/>
    <w:tblPr>
      <w:tblStyleRowBandSize w:val="1"/>
      <w:tblStyleColBandSize w:val="1"/>
      <w:tblCellMar>
        <w:left w:w="70" w:type="dxa"/>
        <w:right w:w="70" w:type="dxa"/>
      </w:tblCellMar>
    </w:tblPr>
  </w:style>
  <w:style w:type="table" w:customStyle="1" w:styleId="afb">
    <w:name w:val="afb"/>
    <w:basedOn w:val="Tablanormal"/>
    <w:rsid w:val="00855F10"/>
    <w:tblPr>
      <w:tblStyleRowBandSize w:val="1"/>
      <w:tblStyleColBandSize w:val="1"/>
      <w:tblCellMar>
        <w:left w:w="70" w:type="dxa"/>
        <w:right w:w="70" w:type="dxa"/>
      </w:tblCellMar>
    </w:tblPr>
  </w:style>
  <w:style w:type="table" w:customStyle="1" w:styleId="afc">
    <w:name w:val="afc"/>
    <w:basedOn w:val="Tablanormal"/>
    <w:rsid w:val="00855F10"/>
    <w:tblPr>
      <w:tblStyleRowBandSize w:val="1"/>
      <w:tblStyleColBandSize w:val="1"/>
      <w:tblCellMar>
        <w:left w:w="70" w:type="dxa"/>
        <w:right w:w="70" w:type="dxa"/>
      </w:tblCellMar>
    </w:tblPr>
  </w:style>
  <w:style w:type="table" w:customStyle="1" w:styleId="afd">
    <w:name w:val="afd"/>
    <w:basedOn w:val="Tablanormal"/>
    <w:rsid w:val="00855F10"/>
    <w:tblPr>
      <w:tblStyleRowBandSize w:val="1"/>
      <w:tblStyleColBandSize w:val="1"/>
      <w:tblCellMar>
        <w:left w:w="70" w:type="dxa"/>
        <w:right w:w="70" w:type="dxa"/>
      </w:tblCellMar>
    </w:tblPr>
  </w:style>
  <w:style w:type="table" w:customStyle="1" w:styleId="afe">
    <w:name w:val="afe"/>
    <w:basedOn w:val="Tablanormal"/>
    <w:rsid w:val="00855F10"/>
    <w:tblPr>
      <w:tblStyleRowBandSize w:val="1"/>
      <w:tblStyleColBandSize w:val="1"/>
      <w:tblCellMar>
        <w:left w:w="70" w:type="dxa"/>
        <w:right w:w="70" w:type="dxa"/>
      </w:tblCellMar>
    </w:tblPr>
  </w:style>
  <w:style w:type="table" w:customStyle="1" w:styleId="aff">
    <w:name w:val="aff"/>
    <w:basedOn w:val="Tablanormal"/>
    <w:rsid w:val="00855F10"/>
    <w:tblPr>
      <w:tblStyleRowBandSize w:val="1"/>
      <w:tblStyleColBandSize w:val="1"/>
      <w:tblCellMar>
        <w:left w:w="70" w:type="dxa"/>
        <w:right w:w="70" w:type="dxa"/>
      </w:tblCellMar>
    </w:tblPr>
  </w:style>
  <w:style w:type="table" w:customStyle="1" w:styleId="aff0">
    <w:name w:val="aff0"/>
    <w:basedOn w:val="Tablanormal"/>
    <w:rsid w:val="00855F10"/>
    <w:tblPr>
      <w:tblStyleRowBandSize w:val="1"/>
      <w:tblStyleColBandSize w:val="1"/>
      <w:tblCellMar>
        <w:left w:w="70" w:type="dxa"/>
        <w:right w:w="70" w:type="dxa"/>
      </w:tblCellMar>
    </w:tblPr>
  </w:style>
  <w:style w:type="table" w:customStyle="1" w:styleId="aff1">
    <w:name w:val="aff1"/>
    <w:basedOn w:val="Tablanormal"/>
    <w:rsid w:val="00855F10"/>
    <w:tblPr>
      <w:tblStyleRowBandSize w:val="1"/>
      <w:tblStyleColBandSize w:val="1"/>
      <w:tblCellMar>
        <w:left w:w="70" w:type="dxa"/>
        <w:right w:w="70" w:type="dxa"/>
      </w:tblCellMar>
    </w:tblPr>
  </w:style>
  <w:style w:type="table" w:customStyle="1" w:styleId="aff2">
    <w:name w:val="aff2"/>
    <w:basedOn w:val="Tablanormal"/>
    <w:rsid w:val="00855F10"/>
    <w:tblPr>
      <w:tblStyleRowBandSize w:val="1"/>
      <w:tblStyleColBandSize w:val="1"/>
      <w:tblCellMar>
        <w:left w:w="70" w:type="dxa"/>
        <w:right w:w="70" w:type="dxa"/>
      </w:tblCellMar>
    </w:tblPr>
  </w:style>
  <w:style w:type="table" w:customStyle="1" w:styleId="aff3">
    <w:name w:val="aff3"/>
    <w:basedOn w:val="Tablanormal"/>
    <w:rsid w:val="00855F10"/>
    <w:tblPr>
      <w:tblStyleRowBandSize w:val="1"/>
      <w:tblStyleColBandSize w:val="1"/>
      <w:tblCellMar>
        <w:left w:w="70" w:type="dxa"/>
        <w:right w:w="70" w:type="dxa"/>
      </w:tblCellMar>
    </w:tblPr>
  </w:style>
  <w:style w:type="table" w:customStyle="1" w:styleId="aff4">
    <w:name w:val="aff4"/>
    <w:basedOn w:val="Tablanormal"/>
    <w:rsid w:val="00855F10"/>
    <w:tblPr>
      <w:tblStyleRowBandSize w:val="1"/>
      <w:tblStyleColBandSize w:val="1"/>
      <w:tblCellMar>
        <w:left w:w="70" w:type="dxa"/>
        <w:right w:w="70" w:type="dxa"/>
      </w:tblCellMar>
    </w:tblPr>
  </w:style>
  <w:style w:type="table" w:customStyle="1" w:styleId="aff5">
    <w:name w:val="aff5"/>
    <w:basedOn w:val="Tablanormal"/>
    <w:rsid w:val="00855F10"/>
    <w:tblPr>
      <w:tblStyleRowBandSize w:val="1"/>
      <w:tblStyleColBandSize w:val="1"/>
      <w:tblCellMar>
        <w:left w:w="70" w:type="dxa"/>
        <w:right w:w="70" w:type="dxa"/>
      </w:tblCellMar>
    </w:tblPr>
  </w:style>
  <w:style w:type="table" w:customStyle="1" w:styleId="aff6">
    <w:name w:val="aff6"/>
    <w:basedOn w:val="Tablanormal"/>
    <w:rsid w:val="00855F10"/>
    <w:tblPr>
      <w:tblStyleRowBandSize w:val="1"/>
      <w:tblStyleColBandSize w:val="1"/>
      <w:tblCellMar>
        <w:left w:w="70" w:type="dxa"/>
        <w:right w:w="70" w:type="dxa"/>
      </w:tblCellMar>
    </w:tblPr>
  </w:style>
  <w:style w:type="table" w:customStyle="1" w:styleId="aff7">
    <w:name w:val="aff7"/>
    <w:basedOn w:val="Tablanormal"/>
    <w:rsid w:val="00855F10"/>
    <w:tblPr>
      <w:tblStyleRowBandSize w:val="1"/>
      <w:tblStyleColBandSize w:val="1"/>
      <w:tblCellMar>
        <w:left w:w="70" w:type="dxa"/>
        <w:right w:w="70" w:type="dxa"/>
      </w:tblCellMar>
    </w:tblPr>
  </w:style>
  <w:style w:type="table" w:customStyle="1" w:styleId="aff8">
    <w:name w:val="aff8"/>
    <w:basedOn w:val="Tablanormal"/>
    <w:rsid w:val="00855F10"/>
    <w:tblPr>
      <w:tblStyleRowBandSize w:val="1"/>
      <w:tblStyleColBandSize w:val="1"/>
      <w:tblCellMar>
        <w:left w:w="70" w:type="dxa"/>
        <w:right w:w="70" w:type="dxa"/>
      </w:tblCellMar>
    </w:tblPr>
  </w:style>
  <w:style w:type="table" w:customStyle="1" w:styleId="aff9">
    <w:name w:val="aff9"/>
    <w:basedOn w:val="Tablanormal"/>
    <w:rsid w:val="00855F10"/>
    <w:tblPr>
      <w:tblStyleRowBandSize w:val="1"/>
      <w:tblStyleColBandSize w:val="1"/>
      <w:tblCellMar>
        <w:left w:w="70" w:type="dxa"/>
        <w:right w:w="70" w:type="dxa"/>
      </w:tblCellMar>
    </w:tblPr>
  </w:style>
  <w:style w:type="table" w:customStyle="1" w:styleId="affa">
    <w:name w:val="affa"/>
    <w:basedOn w:val="Tablanormal"/>
    <w:rsid w:val="00855F10"/>
    <w:tblPr>
      <w:tblStyleRowBandSize w:val="1"/>
      <w:tblStyleColBandSize w:val="1"/>
      <w:tblCellMar>
        <w:left w:w="70" w:type="dxa"/>
        <w:right w:w="70" w:type="dxa"/>
      </w:tblCellMar>
    </w:tblPr>
  </w:style>
  <w:style w:type="table" w:customStyle="1" w:styleId="affb">
    <w:name w:val="affb"/>
    <w:basedOn w:val="Tablanormal"/>
    <w:rsid w:val="00855F10"/>
    <w:tblPr>
      <w:tblStyleRowBandSize w:val="1"/>
      <w:tblStyleColBandSize w:val="1"/>
      <w:tblCellMar>
        <w:left w:w="70" w:type="dxa"/>
        <w:right w:w="70" w:type="dxa"/>
      </w:tblCellMar>
    </w:tblPr>
  </w:style>
  <w:style w:type="table" w:customStyle="1" w:styleId="affc">
    <w:name w:val="affc"/>
    <w:basedOn w:val="Tablanormal"/>
    <w:rsid w:val="00855F10"/>
    <w:tblPr>
      <w:tblStyleRowBandSize w:val="1"/>
      <w:tblStyleColBandSize w:val="1"/>
      <w:tblCellMar>
        <w:left w:w="70" w:type="dxa"/>
        <w:right w:w="70" w:type="dxa"/>
      </w:tblCellMar>
    </w:tblPr>
  </w:style>
  <w:style w:type="table" w:customStyle="1" w:styleId="affd">
    <w:name w:val="affd"/>
    <w:basedOn w:val="Tablanormal"/>
    <w:rsid w:val="00855F10"/>
    <w:tblPr>
      <w:tblStyleRowBandSize w:val="1"/>
      <w:tblStyleColBandSize w:val="1"/>
      <w:tblCellMar>
        <w:left w:w="70" w:type="dxa"/>
        <w:right w:w="70" w:type="dxa"/>
      </w:tblCellMar>
    </w:tblPr>
  </w:style>
  <w:style w:type="table" w:customStyle="1" w:styleId="affe">
    <w:name w:val="affe"/>
    <w:basedOn w:val="Tablanormal"/>
    <w:rsid w:val="00855F10"/>
    <w:tblPr>
      <w:tblStyleRowBandSize w:val="1"/>
      <w:tblStyleColBandSize w:val="1"/>
      <w:tblCellMar>
        <w:left w:w="70" w:type="dxa"/>
        <w:right w:w="70" w:type="dxa"/>
      </w:tblCellMar>
    </w:tblPr>
  </w:style>
  <w:style w:type="table" w:customStyle="1" w:styleId="afff">
    <w:name w:val="afff"/>
    <w:basedOn w:val="Tablanormal"/>
    <w:rsid w:val="00855F10"/>
    <w:tblPr>
      <w:tblStyleRowBandSize w:val="1"/>
      <w:tblStyleColBandSize w:val="1"/>
      <w:tblCellMar>
        <w:left w:w="70" w:type="dxa"/>
        <w:right w:w="70" w:type="dxa"/>
      </w:tblCellMar>
    </w:tblPr>
  </w:style>
  <w:style w:type="table" w:customStyle="1" w:styleId="afff0">
    <w:name w:val="afff0"/>
    <w:basedOn w:val="Tablanormal"/>
    <w:rsid w:val="00855F10"/>
    <w:tblPr>
      <w:tblStyleRowBandSize w:val="1"/>
      <w:tblStyleColBandSize w:val="1"/>
      <w:tblCellMar>
        <w:left w:w="70" w:type="dxa"/>
        <w:right w:w="70" w:type="dxa"/>
      </w:tblCellMar>
    </w:tblPr>
  </w:style>
  <w:style w:type="table" w:customStyle="1" w:styleId="afff1">
    <w:name w:val="afff1"/>
    <w:basedOn w:val="Tablanormal"/>
    <w:rsid w:val="00855F10"/>
    <w:tblPr>
      <w:tblStyleRowBandSize w:val="1"/>
      <w:tblStyleColBandSize w:val="1"/>
      <w:tblCellMar>
        <w:left w:w="70" w:type="dxa"/>
        <w:right w:w="70" w:type="dxa"/>
      </w:tblCellMar>
    </w:tblPr>
  </w:style>
  <w:style w:type="table" w:customStyle="1" w:styleId="afff2">
    <w:name w:val="afff2"/>
    <w:basedOn w:val="Tablanormal"/>
    <w:rsid w:val="00855F10"/>
    <w:tblPr>
      <w:tblStyleRowBandSize w:val="1"/>
      <w:tblStyleColBandSize w:val="1"/>
      <w:tblCellMar>
        <w:left w:w="70" w:type="dxa"/>
        <w:right w:w="70" w:type="dxa"/>
      </w:tblCellMar>
    </w:tblPr>
  </w:style>
  <w:style w:type="table" w:customStyle="1" w:styleId="afff3">
    <w:name w:val="afff3"/>
    <w:basedOn w:val="Tablanormal"/>
    <w:rsid w:val="00855F10"/>
    <w:tblPr>
      <w:tblStyleRowBandSize w:val="1"/>
      <w:tblStyleColBandSize w:val="1"/>
      <w:tblCellMar>
        <w:left w:w="70" w:type="dxa"/>
        <w:right w:w="70" w:type="dxa"/>
      </w:tblCellMar>
    </w:tblPr>
  </w:style>
  <w:style w:type="table" w:customStyle="1" w:styleId="afff4">
    <w:name w:val="afff4"/>
    <w:basedOn w:val="Tablanormal"/>
    <w:rsid w:val="00855F10"/>
    <w:tblPr>
      <w:tblStyleRowBandSize w:val="1"/>
      <w:tblStyleColBandSize w:val="1"/>
      <w:tblCellMar>
        <w:left w:w="70" w:type="dxa"/>
        <w:right w:w="70" w:type="dxa"/>
      </w:tblCellMar>
    </w:tblPr>
  </w:style>
  <w:style w:type="table" w:customStyle="1" w:styleId="afff5">
    <w:name w:val="afff5"/>
    <w:basedOn w:val="Tablanormal"/>
    <w:rsid w:val="00855F10"/>
    <w:tblPr>
      <w:tblStyleRowBandSize w:val="1"/>
      <w:tblStyleColBandSize w:val="1"/>
      <w:tblCellMar>
        <w:left w:w="70" w:type="dxa"/>
        <w:right w:w="70" w:type="dxa"/>
      </w:tblCellMar>
    </w:tblPr>
  </w:style>
  <w:style w:type="table" w:customStyle="1" w:styleId="afff6">
    <w:name w:val="afff6"/>
    <w:basedOn w:val="Tablanormal"/>
    <w:rsid w:val="00855F10"/>
    <w:tblPr>
      <w:tblStyleRowBandSize w:val="1"/>
      <w:tblStyleColBandSize w:val="1"/>
      <w:tblCellMar>
        <w:left w:w="70" w:type="dxa"/>
        <w:right w:w="70" w:type="dxa"/>
      </w:tblCellMar>
    </w:tblPr>
  </w:style>
  <w:style w:type="character" w:styleId="Mencinsinresolver">
    <w:name w:val="Unresolved Mention"/>
    <w:basedOn w:val="Fuentedeprrafopredeter"/>
    <w:uiPriority w:val="99"/>
    <w:semiHidden/>
    <w:unhideWhenUsed/>
    <w:rsid w:val="00855F10"/>
    <w:rPr>
      <w:color w:val="605E5C"/>
      <w:shd w:val="clear" w:color="auto" w:fill="E1DFDD"/>
    </w:rPr>
  </w:style>
  <w:style w:type="table" w:styleId="Tablaconcuadrcula">
    <w:name w:val="Table Grid"/>
    <w:basedOn w:val="Tablanormal"/>
    <w:uiPriority w:val="39"/>
    <w:rsid w:val="00855F10"/>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26"/>
    <w:basedOn w:val="Tablanormal"/>
    <w:tblPr>
      <w:tblStyleRowBandSize w:val="1"/>
      <w:tblStyleColBandSize w:val="1"/>
      <w:tblCellMar>
        <w:left w:w="115" w:type="dxa"/>
        <w:right w:w="115" w:type="dxa"/>
      </w:tblCellMar>
    </w:tblPr>
  </w:style>
  <w:style w:type="table" w:customStyle="1" w:styleId="25">
    <w:name w:val="25"/>
    <w:basedOn w:val="Tablanormal"/>
    <w:tblPr>
      <w:tblStyleRowBandSize w:val="1"/>
      <w:tblStyleColBandSize w:val="1"/>
      <w:tblCellMar>
        <w:left w:w="115" w:type="dxa"/>
        <w:right w:w="115" w:type="dxa"/>
      </w:tblCellMar>
    </w:tblPr>
  </w:style>
  <w:style w:type="table" w:customStyle="1" w:styleId="24">
    <w:name w:val="24"/>
    <w:basedOn w:val="Tablanormal"/>
    <w:tblPr>
      <w:tblStyleRowBandSize w:val="1"/>
      <w:tblStyleColBandSize w:val="1"/>
      <w:tblCellMar>
        <w:left w:w="115" w:type="dxa"/>
        <w:right w:w="115" w:type="dxa"/>
      </w:tblCellMar>
    </w:tblPr>
  </w:style>
  <w:style w:type="table" w:customStyle="1" w:styleId="23">
    <w:name w:val="23"/>
    <w:basedOn w:val="Tablanormal"/>
    <w:tblPr>
      <w:tblStyleRowBandSize w:val="1"/>
      <w:tblStyleColBandSize w:val="1"/>
      <w:tblCellMar>
        <w:left w:w="115" w:type="dxa"/>
        <w:right w:w="115" w:type="dxa"/>
      </w:tblCellMar>
    </w:tblPr>
  </w:style>
  <w:style w:type="table" w:customStyle="1" w:styleId="22">
    <w:name w:val="22"/>
    <w:basedOn w:val="Tablanormal"/>
    <w:tblPr>
      <w:tblStyleRowBandSize w:val="1"/>
      <w:tblStyleColBandSize w:val="1"/>
      <w:tblCellMar>
        <w:left w:w="115" w:type="dxa"/>
        <w:right w:w="115" w:type="dxa"/>
      </w:tblCellMar>
    </w:tblPr>
  </w:style>
  <w:style w:type="table" w:customStyle="1" w:styleId="21">
    <w:name w:val="21"/>
    <w:basedOn w:val="Tablanormal"/>
    <w:tblPr>
      <w:tblStyleRowBandSize w:val="1"/>
      <w:tblStyleColBandSize w:val="1"/>
      <w:tblCellMar>
        <w:left w:w="72" w:type="dxa"/>
        <w:right w:w="72" w:type="dxa"/>
      </w:tblCellMar>
    </w:tblPr>
  </w:style>
  <w:style w:type="table" w:customStyle="1" w:styleId="20">
    <w:name w:val="20"/>
    <w:basedOn w:val="Tablanormal"/>
    <w:tblPr>
      <w:tblStyleRowBandSize w:val="1"/>
      <w:tblStyleColBandSize w:val="1"/>
      <w:tblCellMar>
        <w:left w:w="115" w:type="dxa"/>
        <w:right w:w="115" w:type="dxa"/>
      </w:tblCellMar>
    </w:tblPr>
  </w:style>
  <w:style w:type="table" w:customStyle="1" w:styleId="19">
    <w:name w:val="19"/>
    <w:basedOn w:val="Tablanormal"/>
    <w:pPr>
      <w:spacing w:line="240" w:lineRule="auto"/>
    </w:pPr>
    <w:tblPr>
      <w:tblStyleRowBandSize w:val="1"/>
      <w:tblStyleColBandSize w:val="1"/>
      <w:tblCellMar>
        <w:left w:w="70" w:type="dxa"/>
        <w:right w:w="70" w:type="dxa"/>
      </w:tblCellMar>
    </w:tblPr>
  </w:style>
  <w:style w:type="paragraph" w:styleId="NormalWeb">
    <w:name w:val="Normal (Web)"/>
    <w:basedOn w:val="Normal"/>
    <w:uiPriority w:val="99"/>
    <w:semiHidden/>
    <w:unhideWhenUsed/>
    <w:rsid w:val="000E6F86"/>
    <w:pPr>
      <w:spacing w:before="100" w:beforeAutospacing="1" w:after="100" w:afterAutospacing="1" w:line="240" w:lineRule="auto"/>
    </w:pPr>
    <w:rPr>
      <w:rFonts w:ascii="Times New Roman" w:eastAsia="Times New Roman" w:hAnsi="Times New Roman" w:cs="Times New Roman"/>
      <w:sz w:val="24"/>
      <w:szCs w:val="24"/>
      <w:lang w:val="en-US"/>
    </w:rPr>
  </w:style>
  <w:style w:type="table" w:customStyle="1" w:styleId="18">
    <w:name w:val="18"/>
    <w:basedOn w:val="Tablanormal"/>
    <w:pPr>
      <w:spacing w:line="240" w:lineRule="auto"/>
    </w:pPr>
    <w:tblPr>
      <w:tblStyleRowBandSize w:val="1"/>
      <w:tblStyleColBandSize w:val="1"/>
      <w:tblCellMar>
        <w:left w:w="70" w:type="dxa"/>
        <w:right w:w="70" w:type="dxa"/>
      </w:tblCellMar>
    </w:tblPr>
  </w:style>
  <w:style w:type="table" w:customStyle="1" w:styleId="17">
    <w:name w:val="17"/>
    <w:basedOn w:val="Tablanormal"/>
    <w:pPr>
      <w:spacing w:line="240" w:lineRule="auto"/>
    </w:pPr>
    <w:tblPr>
      <w:tblStyleRowBandSize w:val="1"/>
      <w:tblStyleColBandSize w:val="1"/>
      <w:tblCellMar>
        <w:left w:w="70" w:type="dxa"/>
        <w:right w:w="70" w:type="dxa"/>
      </w:tblCellMar>
    </w:tblPr>
  </w:style>
  <w:style w:type="table" w:customStyle="1" w:styleId="16">
    <w:name w:val="16"/>
    <w:basedOn w:val="Tablanormal"/>
    <w:pPr>
      <w:spacing w:line="240" w:lineRule="auto"/>
    </w:pPr>
    <w:tblPr>
      <w:tblStyleRowBandSize w:val="1"/>
      <w:tblStyleColBandSize w:val="1"/>
      <w:tblCellMar>
        <w:left w:w="70" w:type="dxa"/>
        <w:right w:w="70" w:type="dxa"/>
      </w:tblCellMar>
    </w:tblPr>
  </w:style>
  <w:style w:type="table" w:customStyle="1" w:styleId="15">
    <w:name w:val="15"/>
    <w:basedOn w:val="Tablanormal"/>
    <w:pPr>
      <w:spacing w:line="240" w:lineRule="auto"/>
    </w:pPr>
    <w:tblPr>
      <w:tblStyleRowBandSize w:val="1"/>
      <w:tblStyleColBandSize w:val="1"/>
      <w:tblCellMar>
        <w:left w:w="70" w:type="dxa"/>
        <w:right w:w="70" w:type="dxa"/>
      </w:tblCellMar>
    </w:tblPr>
  </w:style>
  <w:style w:type="table" w:customStyle="1" w:styleId="14">
    <w:name w:val="14"/>
    <w:basedOn w:val="Tablanormal"/>
    <w:pPr>
      <w:spacing w:line="240" w:lineRule="auto"/>
    </w:pPr>
    <w:tblPr>
      <w:tblStyleRowBandSize w:val="1"/>
      <w:tblStyleColBandSize w:val="1"/>
      <w:tblCellMar>
        <w:left w:w="70" w:type="dxa"/>
        <w:right w:w="70" w:type="dxa"/>
      </w:tblCellMar>
    </w:tblPr>
  </w:style>
  <w:style w:type="table" w:customStyle="1" w:styleId="13">
    <w:name w:val="13"/>
    <w:basedOn w:val="Tablanormal"/>
    <w:pPr>
      <w:spacing w:line="240" w:lineRule="auto"/>
    </w:pPr>
    <w:tblPr>
      <w:tblStyleRowBandSize w:val="1"/>
      <w:tblStyleColBandSize w:val="1"/>
      <w:tblCellMar>
        <w:left w:w="70" w:type="dxa"/>
        <w:right w:w="70" w:type="dxa"/>
      </w:tblCellMar>
    </w:tblPr>
  </w:style>
  <w:style w:type="table" w:customStyle="1" w:styleId="12">
    <w:name w:val="12"/>
    <w:basedOn w:val="Tablanormal"/>
    <w:pPr>
      <w:spacing w:line="240" w:lineRule="auto"/>
    </w:pPr>
    <w:tblPr>
      <w:tblStyleRowBandSize w:val="1"/>
      <w:tblStyleColBandSize w:val="1"/>
      <w:tblCellMar>
        <w:left w:w="72" w:type="dxa"/>
        <w:right w:w="72" w:type="dxa"/>
      </w:tblCellMar>
    </w:tblPr>
  </w:style>
  <w:style w:type="table" w:customStyle="1" w:styleId="11">
    <w:name w:val="11"/>
    <w:basedOn w:val="Tablanormal"/>
    <w:pPr>
      <w:spacing w:line="240" w:lineRule="auto"/>
    </w:pPr>
    <w:tblPr>
      <w:tblStyleRowBandSize w:val="1"/>
      <w:tblStyleColBandSize w:val="1"/>
      <w:tblCellMar>
        <w:left w:w="70" w:type="dxa"/>
        <w:right w:w="70" w:type="dxa"/>
      </w:tblCellMar>
    </w:tblPr>
  </w:style>
  <w:style w:type="table" w:customStyle="1" w:styleId="10">
    <w:name w:val="10"/>
    <w:basedOn w:val="Tablanormal"/>
    <w:pPr>
      <w:spacing w:line="240" w:lineRule="auto"/>
    </w:pPr>
    <w:tblPr>
      <w:tblStyleRowBandSize w:val="1"/>
      <w:tblStyleColBandSize w:val="1"/>
      <w:tblCellMar>
        <w:left w:w="70" w:type="dxa"/>
        <w:right w:w="70" w:type="dxa"/>
      </w:tblCellMar>
    </w:tblPr>
  </w:style>
  <w:style w:type="table" w:customStyle="1" w:styleId="9">
    <w:name w:val="9"/>
    <w:basedOn w:val="Tablanormal"/>
    <w:pPr>
      <w:spacing w:line="240" w:lineRule="auto"/>
    </w:pPr>
    <w:tblPr>
      <w:tblStyleRowBandSize w:val="1"/>
      <w:tblStyleColBandSize w:val="1"/>
      <w:tblCellMar>
        <w:left w:w="70" w:type="dxa"/>
        <w:right w:w="70" w:type="dxa"/>
      </w:tblCellMar>
    </w:tblPr>
  </w:style>
  <w:style w:type="table" w:customStyle="1" w:styleId="8">
    <w:name w:val="8"/>
    <w:basedOn w:val="Tablanormal"/>
    <w:pPr>
      <w:spacing w:line="240" w:lineRule="auto"/>
    </w:pPr>
    <w:tblPr>
      <w:tblStyleRowBandSize w:val="1"/>
      <w:tblStyleColBandSize w:val="1"/>
      <w:tblCellMar>
        <w:left w:w="70" w:type="dxa"/>
        <w:right w:w="70" w:type="dxa"/>
      </w:tblCellMar>
    </w:tblPr>
  </w:style>
  <w:style w:type="table" w:customStyle="1" w:styleId="7">
    <w:name w:val="7"/>
    <w:basedOn w:val="Tablanormal"/>
    <w:pPr>
      <w:spacing w:line="240" w:lineRule="auto"/>
    </w:pPr>
    <w:tblPr>
      <w:tblStyleRowBandSize w:val="1"/>
      <w:tblStyleColBandSize w:val="1"/>
      <w:tblCellMar>
        <w:left w:w="70" w:type="dxa"/>
        <w:right w:w="70" w:type="dxa"/>
      </w:tblCellMar>
    </w:tblPr>
  </w:style>
  <w:style w:type="table" w:customStyle="1" w:styleId="6">
    <w:name w:val="6"/>
    <w:basedOn w:val="Tablanormal"/>
    <w:pPr>
      <w:spacing w:line="240" w:lineRule="auto"/>
    </w:pPr>
    <w:tblPr>
      <w:tblStyleRowBandSize w:val="1"/>
      <w:tblStyleColBandSize w:val="1"/>
      <w:tblCellMar>
        <w:left w:w="70" w:type="dxa"/>
        <w:right w:w="70" w:type="dxa"/>
      </w:tblCellMar>
    </w:tblPr>
  </w:style>
  <w:style w:type="table" w:customStyle="1" w:styleId="5">
    <w:name w:val="5"/>
    <w:basedOn w:val="Tablanormal"/>
    <w:pPr>
      <w:spacing w:line="240" w:lineRule="auto"/>
    </w:pPr>
    <w:tblPr>
      <w:tblStyleRowBandSize w:val="1"/>
      <w:tblStyleColBandSize w:val="1"/>
      <w:tblCellMar>
        <w:left w:w="70" w:type="dxa"/>
        <w:right w:w="70" w:type="dxa"/>
      </w:tblCellMar>
    </w:tblPr>
  </w:style>
  <w:style w:type="table" w:customStyle="1" w:styleId="4">
    <w:name w:val="4"/>
    <w:basedOn w:val="Tablanormal"/>
    <w:pPr>
      <w:spacing w:line="240" w:lineRule="auto"/>
    </w:pPr>
    <w:tblPr>
      <w:tblStyleRowBandSize w:val="1"/>
      <w:tblStyleColBandSize w:val="1"/>
      <w:tblCellMar>
        <w:left w:w="70" w:type="dxa"/>
        <w:right w:w="70" w:type="dxa"/>
      </w:tblCellMar>
    </w:tblPr>
  </w:style>
  <w:style w:type="table" w:customStyle="1" w:styleId="3">
    <w:name w:val="3"/>
    <w:basedOn w:val="Tablanormal"/>
    <w:pPr>
      <w:spacing w:line="240" w:lineRule="auto"/>
    </w:pPr>
    <w:tblPr>
      <w:tblStyleRowBandSize w:val="1"/>
      <w:tblStyleColBandSize w:val="1"/>
      <w:tblCellMar>
        <w:left w:w="70" w:type="dxa"/>
        <w:right w:w="70" w:type="dxa"/>
      </w:tblCellMar>
    </w:tblPr>
  </w:style>
  <w:style w:type="table" w:customStyle="1" w:styleId="2">
    <w:name w:val="2"/>
    <w:basedOn w:val="Tablanormal"/>
    <w:pPr>
      <w:spacing w:line="240" w:lineRule="auto"/>
    </w:pPr>
    <w:tblPr>
      <w:tblStyleRowBandSize w:val="1"/>
      <w:tblStyleColBandSize w:val="1"/>
      <w:tblCellMar>
        <w:left w:w="70" w:type="dxa"/>
        <w:right w:w="70" w:type="dxa"/>
      </w:tblCellMar>
    </w:tblPr>
  </w:style>
  <w:style w:type="table" w:customStyle="1" w:styleId="1">
    <w:name w:val="1"/>
    <w:basedOn w:val="Tablanormal"/>
    <w:pPr>
      <w:spacing w:line="240" w:lineRule="auto"/>
    </w:pPr>
    <w:tblPr>
      <w:tblStyleRowBandSize w:val="1"/>
      <w:tblStyleColBandSize w:val="1"/>
      <w:tblCellMar>
        <w:left w:w="70" w:type="dxa"/>
        <w:right w:w="70" w:type="dxa"/>
      </w:tblCellMar>
    </w:tblPr>
  </w:style>
  <w:style w:type="table" w:customStyle="1" w:styleId="afff7">
    <w:basedOn w:val="Tablanormal"/>
    <w:pPr>
      <w:spacing w:line="240" w:lineRule="auto"/>
    </w:pPr>
    <w:tblPr>
      <w:tblStyleRowBandSize w:val="1"/>
      <w:tblStyleColBandSize w:val="1"/>
      <w:tblCellMar>
        <w:left w:w="70" w:type="dxa"/>
        <w:right w:w="70" w:type="dxa"/>
      </w:tblCellMar>
    </w:tblPr>
  </w:style>
  <w:style w:type="table" w:customStyle="1" w:styleId="afff8">
    <w:basedOn w:val="Tablanormal"/>
    <w:pPr>
      <w:spacing w:line="240" w:lineRule="auto"/>
    </w:pPr>
    <w:tblPr>
      <w:tblStyleRowBandSize w:val="1"/>
      <w:tblStyleColBandSize w:val="1"/>
      <w:tblCellMar>
        <w:left w:w="70" w:type="dxa"/>
        <w:right w:w="70" w:type="dxa"/>
      </w:tblCellMar>
    </w:tblPr>
  </w:style>
  <w:style w:type="table" w:customStyle="1" w:styleId="afff9">
    <w:basedOn w:val="Tablanormal"/>
    <w:pPr>
      <w:spacing w:line="240" w:lineRule="auto"/>
    </w:pPr>
    <w:tblPr>
      <w:tblStyleRowBandSize w:val="1"/>
      <w:tblStyleColBandSize w:val="1"/>
      <w:tblCellMar>
        <w:left w:w="70" w:type="dxa"/>
        <w:right w:w="70" w:type="dxa"/>
      </w:tblCellMar>
    </w:tblPr>
  </w:style>
  <w:style w:type="table" w:customStyle="1" w:styleId="afffa">
    <w:basedOn w:val="Tablanormal"/>
    <w:pPr>
      <w:spacing w:line="240" w:lineRule="auto"/>
    </w:pPr>
    <w:tblPr>
      <w:tblStyleRowBandSize w:val="1"/>
      <w:tblStyleColBandSize w:val="1"/>
      <w:tblCellMar>
        <w:left w:w="70" w:type="dxa"/>
        <w:right w:w="70" w:type="dxa"/>
      </w:tblCellMar>
    </w:tblPr>
  </w:style>
  <w:style w:type="table" w:customStyle="1" w:styleId="afffb">
    <w:basedOn w:val="Tablanormal"/>
    <w:pPr>
      <w:spacing w:line="240" w:lineRule="auto"/>
    </w:pPr>
    <w:tblPr>
      <w:tblStyleRowBandSize w:val="1"/>
      <w:tblStyleColBandSize w:val="1"/>
      <w:tblCellMar>
        <w:left w:w="70" w:type="dxa"/>
        <w:right w:w="70" w:type="dxa"/>
      </w:tblCellMar>
    </w:tblPr>
  </w:style>
  <w:style w:type="table" w:customStyle="1" w:styleId="afffc">
    <w:basedOn w:val="Tablanormal"/>
    <w:pPr>
      <w:spacing w:line="240" w:lineRule="auto"/>
    </w:pPr>
    <w:tblPr>
      <w:tblStyleRowBandSize w:val="1"/>
      <w:tblStyleColBandSize w:val="1"/>
      <w:tblCellMar>
        <w:left w:w="70" w:type="dxa"/>
        <w:right w:w="70" w:type="dxa"/>
      </w:tblCellMar>
    </w:tblPr>
  </w:style>
  <w:style w:type="table" w:customStyle="1" w:styleId="afffd">
    <w:basedOn w:val="Tablanormal"/>
    <w:pPr>
      <w:spacing w:line="240" w:lineRule="auto"/>
    </w:pPr>
    <w:tblPr>
      <w:tblStyleRowBandSize w:val="1"/>
      <w:tblStyleColBandSize w:val="1"/>
      <w:tblCellMar>
        <w:left w:w="70" w:type="dxa"/>
        <w:right w:w="70" w:type="dxa"/>
      </w:tblCellMar>
    </w:tblPr>
  </w:style>
  <w:style w:type="table" w:customStyle="1" w:styleId="afffe">
    <w:basedOn w:val="Tablanormal"/>
    <w:pPr>
      <w:spacing w:line="240" w:lineRule="auto"/>
    </w:pPr>
    <w:tblPr>
      <w:tblStyleRowBandSize w:val="1"/>
      <w:tblStyleColBandSize w:val="1"/>
      <w:tblCellMar>
        <w:left w:w="70" w:type="dxa"/>
        <w:right w:w="70" w:type="dxa"/>
      </w:tblCellMar>
    </w:tblPr>
  </w:style>
  <w:style w:type="table" w:customStyle="1" w:styleId="affff">
    <w:basedOn w:val="Tablanormal"/>
    <w:pPr>
      <w:spacing w:line="240" w:lineRule="auto"/>
    </w:pPr>
    <w:tblPr>
      <w:tblStyleRowBandSize w:val="1"/>
      <w:tblStyleColBandSize w:val="1"/>
      <w:tblCellMar>
        <w:left w:w="70" w:type="dxa"/>
        <w:right w:w="70" w:type="dxa"/>
      </w:tblCellMar>
    </w:tblPr>
  </w:style>
  <w:style w:type="table" w:customStyle="1" w:styleId="affff0">
    <w:basedOn w:val="Tablanormal"/>
    <w:pPr>
      <w:spacing w:line="240" w:lineRule="auto"/>
    </w:pPr>
    <w:tblPr>
      <w:tblStyleRowBandSize w:val="1"/>
      <w:tblStyleColBandSize w:val="1"/>
      <w:tblCellMar>
        <w:left w:w="70" w:type="dxa"/>
        <w:right w:w="70" w:type="dxa"/>
      </w:tblCellMar>
    </w:tblPr>
  </w:style>
  <w:style w:type="table" w:customStyle="1" w:styleId="affff1">
    <w:basedOn w:val="Tablanormal"/>
    <w:pPr>
      <w:spacing w:line="240" w:lineRule="auto"/>
    </w:pPr>
    <w:tblPr>
      <w:tblStyleRowBandSize w:val="1"/>
      <w:tblStyleColBandSize w:val="1"/>
      <w:tblCellMar>
        <w:left w:w="70" w:type="dxa"/>
        <w:right w:w="70" w:type="dxa"/>
      </w:tblCellMar>
    </w:tblPr>
  </w:style>
  <w:style w:type="table" w:customStyle="1" w:styleId="affff2">
    <w:basedOn w:val="Tablanormal"/>
    <w:pPr>
      <w:spacing w:line="240" w:lineRule="auto"/>
    </w:pPr>
    <w:tblPr>
      <w:tblStyleRowBandSize w:val="1"/>
      <w:tblStyleColBandSize w:val="1"/>
      <w:tblCellMar>
        <w:left w:w="70" w:type="dxa"/>
        <w:right w:w="70" w:type="dxa"/>
      </w:tblCellMar>
    </w:tblPr>
  </w:style>
  <w:style w:type="table" w:customStyle="1" w:styleId="affff3">
    <w:basedOn w:val="Tablanormal"/>
    <w:pPr>
      <w:spacing w:line="240" w:lineRule="auto"/>
    </w:pPr>
    <w:tblPr>
      <w:tblStyleRowBandSize w:val="1"/>
      <w:tblStyleColBandSize w:val="1"/>
      <w:tblCellMar>
        <w:left w:w="70" w:type="dxa"/>
        <w:right w:w="70" w:type="dxa"/>
      </w:tblCellMar>
    </w:tblPr>
  </w:style>
  <w:style w:type="table" w:customStyle="1" w:styleId="affff4">
    <w:basedOn w:val="Tablanormal"/>
    <w:pPr>
      <w:spacing w:line="240" w:lineRule="auto"/>
    </w:pPr>
    <w:tblPr>
      <w:tblStyleRowBandSize w:val="1"/>
      <w:tblStyleColBandSize w:val="1"/>
      <w:tblCellMar>
        <w:left w:w="70" w:type="dxa"/>
        <w:right w:w="70" w:type="dxa"/>
      </w:tblCellMar>
    </w:tblPr>
  </w:style>
  <w:style w:type="table" w:customStyle="1" w:styleId="affff5">
    <w:basedOn w:val="Tablanormal"/>
    <w:pPr>
      <w:spacing w:line="240" w:lineRule="auto"/>
    </w:pPr>
    <w:tblPr>
      <w:tblStyleRowBandSize w:val="1"/>
      <w:tblStyleColBandSize w:val="1"/>
      <w:tblCellMar>
        <w:left w:w="70" w:type="dxa"/>
        <w:right w:w="70" w:type="dxa"/>
      </w:tblCellMar>
    </w:tblPr>
  </w:style>
  <w:style w:type="table" w:customStyle="1" w:styleId="affff6">
    <w:basedOn w:val="Tablanormal"/>
    <w:pPr>
      <w:spacing w:line="240" w:lineRule="auto"/>
    </w:pPr>
    <w:tblPr>
      <w:tblStyleRowBandSize w:val="1"/>
      <w:tblStyleColBandSize w:val="1"/>
      <w:tblCellMar>
        <w:left w:w="70" w:type="dxa"/>
        <w:right w:w="70" w:type="dxa"/>
      </w:tblCellMar>
    </w:tblPr>
  </w:style>
  <w:style w:type="table" w:customStyle="1" w:styleId="affff7">
    <w:basedOn w:val="Tablanormal"/>
    <w:pPr>
      <w:spacing w:line="240" w:lineRule="auto"/>
    </w:pPr>
    <w:tblPr>
      <w:tblStyleRowBandSize w:val="1"/>
      <w:tblStyleColBandSize w:val="1"/>
      <w:tblCellMar>
        <w:left w:w="70" w:type="dxa"/>
        <w:right w:w="70" w:type="dxa"/>
      </w:tblCellMar>
    </w:tblPr>
  </w:style>
  <w:style w:type="table" w:customStyle="1" w:styleId="affff8">
    <w:basedOn w:val="Tablanormal"/>
    <w:pPr>
      <w:spacing w:line="240" w:lineRule="auto"/>
    </w:pPr>
    <w:tblPr>
      <w:tblStyleRowBandSize w:val="1"/>
      <w:tblStyleColBandSize w:val="1"/>
      <w:tblCellMar>
        <w:left w:w="70" w:type="dxa"/>
        <w:right w:w="70" w:type="dxa"/>
      </w:tblCellMar>
    </w:tblPr>
  </w:style>
  <w:style w:type="table" w:customStyle="1" w:styleId="affff9">
    <w:basedOn w:val="Tablanormal"/>
    <w:pPr>
      <w:spacing w:line="240" w:lineRule="auto"/>
    </w:pPr>
    <w:tblPr>
      <w:tblStyleRowBandSize w:val="1"/>
      <w:tblStyleColBandSize w:val="1"/>
      <w:tblCellMar>
        <w:left w:w="70" w:type="dxa"/>
        <w:right w:w="70" w:type="dxa"/>
      </w:tblCellMar>
    </w:tblPr>
  </w:style>
  <w:style w:type="table" w:customStyle="1" w:styleId="affffa">
    <w:basedOn w:val="Tablanormal"/>
    <w:pPr>
      <w:spacing w:line="240" w:lineRule="auto"/>
    </w:pPr>
    <w:tblPr>
      <w:tblStyleRowBandSize w:val="1"/>
      <w:tblStyleColBandSize w:val="1"/>
      <w:tblCellMar>
        <w:left w:w="70" w:type="dxa"/>
        <w:right w:w="70" w:type="dxa"/>
      </w:tblCellMar>
    </w:tblPr>
  </w:style>
  <w:style w:type="table" w:customStyle="1" w:styleId="affffb">
    <w:basedOn w:val="Tablanormal"/>
    <w:pPr>
      <w:spacing w:line="240" w:lineRule="auto"/>
    </w:pPr>
    <w:tblPr>
      <w:tblStyleRowBandSize w:val="1"/>
      <w:tblStyleColBandSize w:val="1"/>
      <w:tblCellMar>
        <w:left w:w="70" w:type="dxa"/>
        <w:right w:w="70" w:type="dxa"/>
      </w:tblCellMar>
    </w:tblPr>
  </w:style>
  <w:style w:type="table" w:customStyle="1" w:styleId="affffc">
    <w:basedOn w:val="Tablanormal"/>
    <w:pPr>
      <w:spacing w:line="240" w:lineRule="auto"/>
    </w:pPr>
    <w:tblPr>
      <w:tblStyleRowBandSize w:val="1"/>
      <w:tblStyleColBandSize w:val="1"/>
      <w:tblCellMar>
        <w:left w:w="70" w:type="dxa"/>
        <w:right w:w="70" w:type="dxa"/>
      </w:tblCellMar>
    </w:tblPr>
  </w:style>
  <w:style w:type="table" w:customStyle="1" w:styleId="affffd">
    <w:basedOn w:val="Tablanormal"/>
    <w:pPr>
      <w:spacing w:line="240" w:lineRule="auto"/>
    </w:pPr>
    <w:tblPr>
      <w:tblStyleRowBandSize w:val="1"/>
      <w:tblStyleColBandSize w:val="1"/>
      <w:tblCellMar>
        <w:left w:w="70" w:type="dxa"/>
        <w:right w:w="70" w:type="dxa"/>
      </w:tblCellMar>
    </w:tblPr>
  </w:style>
  <w:style w:type="table" w:customStyle="1" w:styleId="affffe">
    <w:basedOn w:val="Tablanormal"/>
    <w:pPr>
      <w:spacing w:line="240" w:lineRule="auto"/>
    </w:pPr>
    <w:tblPr>
      <w:tblStyleRowBandSize w:val="1"/>
      <w:tblStyleColBandSize w:val="1"/>
      <w:tblCellMar>
        <w:left w:w="70" w:type="dxa"/>
        <w:right w:w="70" w:type="dxa"/>
      </w:tblCellMar>
    </w:tblPr>
  </w:style>
  <w:style w:type="table" w:customStyle="1" w:styleId="afffff">
    <w:basedOn w:val="Tablanormal"/>
    <w:pPr>
      <w:spacing w:line="240" w:lineRule="auto"/>
    </w:pPr>
    <w:tblPr>
      <w:tblStyleRowBandSize w:val="1"/>
      <w:tblStyleColBandSize w:val="1"/>
      <w:tblCellMar>
        <w:left w:w="7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yperlink" Target="https://eur-lex.europa.eu/legal-content/EN/TXT/?uri=CELEX:32022L2464" TargetMode="External"/><Relationship Id="rId18" Type="http://schemas.openxmlformats.org/officeDocument/2006/relationships/hyperlink" Target="https://doi.org/10.5465/amr.2009.35713355" TargetMode="External"/><Relationship Id="rId26" Type="http://schemas.openxmlformats.org/officeDocument/2006/relationships/hyperlink" Target="https://doi.org/10.1007/978-3-319-51715-5_9" TargetMode="External"/><Relationship Id="rId39" Type="http://schemas.openxmlformats.org/officeDocument/2006/relationships/footer" Target="footer2.xml"/><Relationship Id="rId21" Type="http://schemas.openxmlformats.org/officeDocument/2006/relationships/hyperlink" Target="https://doi.org/10.1007/s11575-008-0102-0" TargetMode="External"/><Relationship Id="rId34" Type="http://schemas.openxmlformats.org/officeDocument/2006/relationships/hyperlink" Target="https://sustainabledevelopment.un.org/sdgs" TargetMode="External"/><Relationship Id="rId42" Type="http://schemas.openxmlformats.org/officeDocument/2006/relationships/footer" Target="footer4.xml"/><Relationship Id="rId47" Type="http://schemas.openxmlformats.org/officeDocument/2006/relationships/theme" Target="theme/theme1.xml"/><Relationship Id="rId7" Type="http://schemas.openxmlformats.org/officeDocument/2006/relationships/hyperlink" Target="https://www.sciencedirect.com/science/article/pii/S0925527322000755?casa_token=8NbMYNW42wkAAAAA:uSKbwVMMEAvHGwKbGz6RTtfTg920rbaR9vfpoXfS9Mk7MyH2YpshVbpIOXrPPUmTymoRk_38_bY" TargetMode="External"/><Relationship Id="rId2" Type="http://schemas.openxmlformats.org/officeDocument/2006/relationships/styles" Target="styles.xml"/><Relationship Id="rId16" Type="http://schemas.openxmlformats.org/officeDocument/2006/relationships/hyperlink" Target="https://doi.org/10.1111/1468-0343.00066" TargetMode="External"/><Relationship Id="rId29" Type="http://schemas.openxmlformats.org/officeDocument/2006/relationships/hyperlink" Target="https://scikit-learn.org/stable/user_guide.html"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doi.org/10.1057/jibs.2009.95" TargetMode="External"/><Relationship Id="rId24" Type="http://schemas.openxmlformats.org/officeDocument/2006/relationships/hyperlink" Target="https://doi.org/10.1057/jibs.2016.17" TargetMode="External"/><Relationship Id="rId32" Type="http://schemas.openxmlformats.org/officeDocument/2006/relationships/hyperlink" Target="https://doi.org/10.1057/palgrave.jibs.8400136" TargetMode="External"/><Relationship Id="rId37" Type="http://schemas.openxmlformats.org/officeDocument/2006/relationships/header" Target="header1.xml"/><Relationship Id="rId40" Type="http://schemas.openxmlformats.org/officeDocument/2006/relationships/footer" Target="footer3.xml"/><Relationship Id="rId45"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hyperlink" Target="https://sdgcompass.org/wp-content/uploads/2016/05/" TargetMode="External"/><Relationship Id="rId23" Type="http://schemas.openxmlformats.org/officeDocument/2006/relationships/hyperlink" Target="https://doi.org/10.1057/palgrave.jibs.8400275" TargetMode="External"/><Relationship Id="rId28" Type="http://schemas.openxmlformats.org/officeDocument/2006/relationships/hyperlink" Target="https://doi.org/10.1007/s10551-006-9316-x" TargetMode="External"/><Relationship Id="rId36" Type="http://schemas.openxmlformats.org/officeDocument/2006/relationships/hyperlink" Target="https://doi.org/10.1046/j.1467-6486.2003.00414.x" TargetMode="External"/><Relationship Id="rId10" Type="http://schemas.openxmlformats.org/officeDocument/2006/relationships/hyperlink" Target="https://doi.org/10.1016/j.jwb.2017.07.005" TargetMode="External"/><Relationship Id="rId19" Type="http://schemas.openxmlformats.org/officeDocument/2006/relationships/hyperlink" Target="https://doi.org/10.46430/phen0082" TargetMode="External"/><Relationship Id="rId31" Type="http://schemas.openxmlformats.org/officeDocument/2006/relationships/hyperlink" Target="https://www.spglobal.com/esg/csa/yearbook/" TargetMode="External"/><Relationship Id="rId44"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https://doi.org/10.1287/orsc.1060.0224" TargetMode="External"/><Relationship Id="rId14" Type="http://schemas.openxmlformats.org/officeDocument/2006/relationships/hyperlink" Target="https://doi.org/10.1057/jibs.2016.4" TargetMode="External"/><Relationship Id="rId22" Type="http://schemas.openxmlformats.org/officeDocument/2006/relationships/hyperlink" Target="https://doi.org/10.1057/s42214-020-00080-8" TargetMode="External"/><Relationship Id="rId27" Type="http://schemas.openxmlformats.org/officeDocument/2006/relationships/hyperlink" Target="https://doi.org/10.1002/bse.2568" TargetMode="External"/><Relationship Id="rId30" Type="http://schemas.openxmlformats.org/officeDocument/2006/relationships/hyperlink" Target="https://doi.org/10.1016/j.jwb.2011.02.003" TargetMode="External"/><Relationship Id="rId35" Type="http://schemas.openxmlformats.org/officeDocument/2006/relationships/hyperlink" Target="https://doi.org/10.1046/j.1467-6486.2003.00414.x" TargetMode="External"/><Relationship Id="rId43" Type="http://schemas.openxmlformats.org/officeDocument/2006/relationships/footer" Target="footer5.xml"/><Relationship Id="rId8" Type="http://schemas.openxmlformats.org/officeDocument/2006/relationships/hyperlink" Target="https://www.sciencedirect.com/science/article/pii/S0925527322000755?casa_token=8NbMYNW42wkAAAAA:uSKbwVMMEAvHGwKbGz6RTtfTg920rbaR9vfpoXfS9Mk7MyH2YpshVbpIOXrPPUmTymoRk_38_bY" TargetMode="External"/><Relationship Id="rId3" Type="http://schemas.openxmlformats.org/officeDocument/2006/relationships/settings" Target="settings.xml"/><Relationship Id="rId12" Type="http://schemas.openxmlformats.org/officeDocument/2006/relationships/hyperlink" Target="https://doi.org/10.1016/j.jwb.2015.11.002" TargetMode="External"/><Relationship Id="rId17" Type="http://schemas.openxmlformats.org/officeDocument/2006/relationships/hyperlink" Target="https://doi.org/10.1016/j.jwb.2015.08.010" TargetMode="External"/><Relationship Id="rId25" Type="http://schemas.openxmlformats.org/officeDocument/2006/relationships/hyperlink" Target="https://doi.org/10.5465/amr.2008.31193458" TargetMode="External"/><Relationship Id="rId33" Type="http://schemas.openxmlformats.org/officeDocument/2006/relationships/hyperlink" Target="https://doi.org/10.1057/jibs.2010.41" TargetMode="External"/><Relationship Id="rId38" Type="http://schemas.openxmlformats.org/officeDocument/2006/relationships/footer" Target="footer1.xml"/><Relationship Id="rId46" Type="http://schemas.openxmlformats.org/officeDocument/2006/relationships/fontTable" Target="fontTable.xml"/><Relationship Id="rId20" Type="http://schemas.openxmlformats.org/officeDocument/2006/relationships/hyperlink" Target="https://doi.org/10.1177/1086026618761623" TargetMode="External"/><Relationship Id="rId41"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v9w43mnmAao4t3nahJHyaAmqGBQ==">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49</Pages>
  <Words>16862</Words>
  <Characters>92743</Characters>
  <Application>Microsoft Office Word</Application>
  <DocSecurity>0</DocSecurity>
  <Lines>772</Lines>
  <Paragraphs>218</Paragraphs>
  <ScaleCrop>false</ScaleCrop>
  <Company/>
  <LinksUpToDate>false</LinksUpToDate>
  <CharactersWithSpaces>109387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Keith Whittingham</dc:creator>
  <cp:lastModifiedBy>Dante Ignacio Leyva de la Hiz</cp:lastModifiedBy>
  <cp:revision>2</cp:revision>
  <dcterms:created xsi:type="dcterms:W3CDTF">2023-08-31T19:06:00Z</dcterms:created>
  <dcterms:modified xsi:type="dcterms:W3CDTF">2024-03-11T07:53:00Z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25e16616c423d0324b3275cd58968fd1a44c6c5f98a07ddd7dd3c16974b36cd8</vt:lpwstr>
  </property>
</Properties>
</file>