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768784" w14:textId="7701FFAB" w:rsidR="003710AA" w:rsidRPr="004664FE" w:rsidRDefault="008968D6" w:rsidP="003710AA">
      <w:pPr>
        <w:spacing w:after="0" w:line="480" w:lineRule="auto"/>
        <w:jc w:val="center"/>
        <w:rPr>
          <w:rFonts w:ascii="Times New Roman" w:hAnsi="Times New Roman" w:cs="Times New Roman"/>
          <w:b/>
          <w:sz w:val="24"/>
          <w:szCs w:val="24"/>
        </w:rPr>
      </w:pPr>
      <w:r w:rsidRPr="004664FE">
        <w:rPr>
          <w:rFonts w:ascii="Times New Roman" w:hAnsi="Times New Roman" w:cs="Times New Roman"/>
          <w:b/>
          <w:sz w:val="24"/>
          <w:szCs w:val="24"/>
        </w:rPr>
        <w:t>The inverted U relationship between green innovative activities and firms’ market-based performance: the impact of firm age</w:t>
      </w:r>
    </w:p>
    <w:p w14:paraId="396EBB7C" w14:textId="77777777" w:rsidR="00730176" w:rsidRPr="004664FE" w:rsidRDefault="00730176" w:rsidP="007F39AF">
      <w:pPr>
        <w:spacing w:after="0" w:line="480" w:lineRule="auto"/>
        <w:jc w:val="center"/>
        <w:rPr>
          <w:rFonts w:ascii="Times New Roman" w:hAnsi="Times New Roman" w:cs="Times New Roman"/>
          <w:b/>
          <w:bCs/>
          <w:sz w:val="24"/>
          <w:szCs w:val="24"/>
        </w:rPr>
      </w:pPr>
    </w:p>
    <w:p w14:paraId="5AB28E47" w14:textId="6181538A" w:rsidR="00986297" w:rsidRPr="004664FE" w:rsidRDefault="008968D6" w:rsidP="00F136CC">
      <w:pPr>
        <w:spacing w:after="0" w:line="480" w:lineRule="auto"/>
        <w:jc w:val="center"/>
        <w:rPr>
          <w:rFonts w:ascii="Times New Roman" w:hAnsi="Times New Roman" w:cs="Times New Roman"/>
          <w:sz w:val="24"/>
          <w:szCs w:val="24"/>
        </w:rPr>
      </w:pPr>
      <w:r w:rsidRPr="004664FE">
        <w:rPr>
          <w:rFonts w:ascii="Times New Roman" w:hAnsi="Times New Roman" w:cs="Times New Roman"/>
          <w:b/>
          <w:bCs/>
          <w:sz w:val="24"/>
          <w:szCs w:val="24"/>
        </w:rPr>
        <w:t>Abstract</w:t>
      </w:r>
    </w:p>
    <w:p w14:paraId="3A9D59C1" w14:textId="34AB775B" w:rsidR="00A02D62" w:rsidRPr="004664FE" w:rsidRDefault="008968D6" w:rsidP="00F136CC">
      <w:pPr>
        <w:spacing w:after="0" w:line="480" w:lineRule="auto"/>
        <w:jc w:val="both"/>
        <w:rPr>
          <w:rFonts w:ascii="Times New Roman" w:hAnsi="Times New Roman" w:cs="Times New Roman"/>
          <w:sz w:val="24"/>
          <w:szCs w:val="24"/>
        </w:rPr>
      </w:pPr>
      <w:r w:rsidRPr="004664FE">
        <w:rPr>
          <w:rFonts w:ascii="Times New Roman" w:hAnsi="Times New Roman" w:cs="Times New Roman"/>
          <w:sz w:val="24"/>
          <w:szCs w:val="24"/>
        </w:rPr>
        <w:t xml:space="preserve">Despite the growing interest </w:t>
      </w:r>
      <w:r w:rsidRPr="004664FE">
        <w:rPr>
          <w:rFonts w:ascii="Times New Roman" w:eastAsia="Calibri" w:hAnsi="Times New Roman" w:cs="Times New Roman"/>
          <w:sz w:val="24"/>
          <w:szCs w:val="24"/>
        </w:rPr>
        <w:t>in</w:t>
      </w:r>
      <w:r w:rsidRPr="004664FE">
        <w:rPr>
          <w:rFonts w:ascii="Times New Roman" w:hAnsi="Times New Roman" w:cs="Times New Roman"/>
          <w:sz w:val="24"/>
          <w:szCs w:val="24"/>
        </w:rPr>
        <w:t xml:space="preserve"> environmental innovations, there is still no consensus about their effect </w:t>
      </w:r>
      <w:r w:rsidRPr="004664FE">
        <w:rPr>
          <w:rFonts w:ascii="Times New Roman" w:eastAsia="Calibri" w:hAnsi="Times New Roman" w:cs="Times New Roman"/>
          <w:sz w:val="24"/>
          <w:szCs w:val="24"/>
        </w:rPr>
        <w:t>on</w:t>
      </w:r>
      <w:r w:rsidRPr="004664FE">
        <w:rPr>
          <w:rFonts w:ascii="Times New Roman" w:hAnsi="Times New Roman" w:cs="Times New Roman"/>
          <w:sz w:val="24"/>
          <w:szCs w:val="24"/>
        </w:rPr>
        <w:t xml:space="preserve"> firm performance. On the one hand, advocators of environmental innovations state </w:t>
      </w:r>
      <w:r w:rsidR="000B7B3D" w:rsidRPr="004664FE">
        <w:rPr>
          <w:rFonts w:ascii="Times New Roman" w:eastAsia="Calibri" w:hAnsi="Times New Roman" w:cs="Times New Roman"/>
          <w:sz w:val="24"/>
          <w:szCs w:val="24"/>
        </w:rPr>
        <w:t>that such innovations</w:t>
      </w:r>
      <w:r w:rsidRPr="004664FE">
        <w:rPr>
          <w:rFonts w:ascii="Times New Roman" w:hAnsi="Times New Roman" w:cs="Times New Roman"/>
          <w:sz w:val="24"/>
          <w:szCs w:val="24"/>
        </w:rPr>
        <w:t xml:space="preserve"> exert a positive influence on firm performance</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as they can reduce production costs, open new </w:t>
      </w:r>
      <w:proofErr w:type="gramStart"/>
      <w:r w:rsidRPr="004664FE">
        <w:rPr>
          <w:rFonts w:ascii="Times New Roman" w:hAnsi="Times New Roman" w:cs="Times New Roman"/>
          <w:sz w:val="24"/>
          <w:szCs w:val="24"/>
        </w:rPr>
        <w:t>markets</w:t>
      </w:r>
      <w:proofErr w:type="gramEnd"/>
      <w:r w:rsidRPr="004664FE">
        <w:rPr>
          <w:rFonts w:ascii="Times New Roman" w:hAnsi="Times New Roman" w:cs="Times New Roman"/>
          <w:sz w:val="24"/>
          <w:szCs w:val="24"/>
        </w:rPr>
        <w:t xml:space="preserve"> and improve a firm’s corporate image, among other benefits. </w:t>
      </w:r>
      <w:r w:rsidR="008A5B96" w:rsidRPr="004664FE">
        <w:rPr>
          <w:rFonts w:ascii="Times New Roman" w:hAnsi="Times New Roman"/>
          <w:color w:val="323130"/>
          <w:sz w:val="24"/>
          <w:shd w:val="clear" w:color="auto" w:fill="FFFFFF"/>
        </w:rPr>
        <w:t xml:space="preserve">On the other hand, environmental innovations </w:t>
      </w:r>
      <w:r w:rsidR="008A5B96" w:rsidRPr="004664FE">
        <w:rPr>
          <w:rFonts w:ascii="Times New Roman" w:hAnsi="Times New Roman" w:cs="Times New Roman"/>
          <w:color w:val="323130"/>
          <w:sz w:val="24"/>
          <w:szCs w:val="24"/>
          <w:shd w:val="clear" w:color="auto" w:fill="FFFFFF"/>
        </w:rPr>
        <w:t>are associated with</w:t>
      </w:r>
      <w:r w:rsidR="008A5B96" w:rsidRPr="004664FE">
        <w:rPr>
          <w:rFonts w:ascii="Times New Roman" w:hAnsi="Times New Roman"/>
          <w:color w:val="323130"/>
          <w:sz w:val="24"/>
          <w:shd w:val="clear" w:color="auto" w:fill="FFFFFF"/>
        </w:rPr>
        <w:t xml:space="preserve"> relevant drawbacks such as high development costs and </w:t>
      </w:r>
      <w:r w:rsidR="008A5B96" w:rsidRPr="004664FE">
        <w:rPr>
          <w:rFonts w:ascii="Times New Roman" w:hAnsi="Times New Roman" w:cs="Times New Roman"/>
          <w:color w:val="323130"/>
          <w:sz w:val="24"/>
          <w:szCs w:val="24"/>
          <w:shd w:val="clear" w:color="auto" w:fill="FFFFFF"/>
        </w:rPr>
        <w:t>uncertainties, leading</w:t>
      </w:r>
      <w:r w:rsidR="008A5B96" w:rsidRPr="004664FE">
        <w:rPr>
          <w:rFonts w:ascii="Times New Roman" w:hAnsi="Times New Roman"/>
          <w:color w:val="323130"/>
          <w:sz w:val="24"/>
          <w:shd w:val="clear" w:color="auto" w:fill="FFFFFF"/>
        </w:rPr>
        <w:t xml:space="preserve"> some authors to establish a negative </w:t>
      </w:r>
      <w:r w:rsidR="008A5B96" w:rsidRPr="004664FE">
        <w:rPr>
          <w:rFonts w:ascii="Times New Roman" w:hAnsi="Times New Roman" w:cs="Times New Roman"/>
          <w:color w:val="323130"/>
          <w:sz w:val="24"/>
          <w:szCs w:val="24"/>
          <w:shd w:val="clear" w:color="auto" w:fill="FFFFFF"/>
        </w:rPr>
        <w:t>relationship</w:t>
      </w:r>
      <w:r w:rsidR="008A5B96" w:rsidRPr="004664FE">
        <w:rPr>
          <w:rFonts w:ascii="Times New Roman" w:hAnsi="Times New Roman"/>
          <w:color w:val="323130"/>
          <w:sz w:val="24"/>
          <w:shd w:val="clear" w:color="auto" w:fill="FFFFFF"/>
        </w:rPr>
        <w:t xml:space="preserve">. </w:t>
      </w:r>
      <w:r w:rsidRPr="004664FE">
        <w:rPr>
          <w:rFonts w:ascii="Times New Roman" w:hAnsi="Times New Roman" w:cs="Times New Roman"/>
          <w:sz w:val="24"/>
          <w:szCs w:val="24"/>
        </w:rPr>
        <w:t xml:space="preserve">We try to shed light on this debate by stating that this relation is more complex than a simple linear association; hence, we propose </w:t>
      </w:r>
      <w:r w:rsidR="003D2F65" w:rsidRPr="004664FE">
        <w:rPr>
          <w:rFonts w:ascii="Times New Roman" w:eastAsia="Calibri" w:hAnsi="Times New Roman" w:cs="Times New Roman"/>
          <w:sz w:val="24"/>
          <w:szCs w:val="24"/>
        </w:rPr>
        <w:t>an inverted U</w:t>
      </w:r>
      <w:r w:rsidRPr="004664FE">
        <w:rPr>
          <w:rFonts w:ascii="Times New Roman" w:hAnsi="Times New Roman" w:cs="Times New Roman"/>
          <w:sz w:val="24"/>
          <w:szCs w:val="24"/>
        </w:rPr>
        <w:t xml:space="preserve"> relationship between environmental innovations and firm performance. In addition, we claim that firm age plays a key role </w:t>
      </w:r>
      <w:r w:rsidRPr="004664FE">
        <w:rPr>
          <w:rFonts w:ascii="Times New Roman" w:eastAsia="Calibri" w:hAnsi="Times New Roman" w:cs="Times New Roman"/>
          <w:sz w:val="24"/>
          <w:szCs w:val="24"/>
        </w:rPr>
        <w:t>in</w:t>
      </w:r>
      <w:r w:rsidRPr="004664FE">
        <w:rPr>
          <w:rFonts w:ascii="Times New Roman" w:hAnsi="Times New Roman" w:cs="Times New Roman"/>
          <w:sz w:val="24"/>
          <w:szCs w:val="24"/>
        </w:rPr>
        <w:t xml:space="preserve"> that relationship, as more mature firms find it more difficult than younger firms to capitalize on environmental innovations to improve firm performance. Our longitudinal analysis of 4,634 environmental patents from 75 companies belonging to the electrical components and equipment industry worldwide </w:t>
      </w:r>
      <w:r w:rsidRPr="004664FE">
        <w:rPr>
          <w:rFonts w:ascii="Times New Roman" w:eastAsia="Calibri" w:hAnsi="Times New Roman" w:cs="Times New Roman"/>
          <w:sz w:val="24"/>
          <w:szCs w:val="24"/>
        </w:rPr>
        <w:t>confirms</w:t>
      </w:r>
      <w:r w:rsidRPr="004664FE">
        <w:rPr>
          <w:rFonts w:ascii="Times New Roman" w:hAnsi="Times New Roman" w:cs="Times New Roman"/>
          <w:sz w:val="24"/>
          <w:szCs w:val="24"/>
        </w:rPr>
        <w:t xml:space="preserve"> our hypotheses.</w:t>
      </w:r>
    </w:p>
    <w:p w14:paraId="6C0C0AF5" w14:textId="77777777" w:rsidR="00986297" w:rsidRPr="004664FE" w:rsidRDefault="00986297" w:rsidP="00F136CC">
      <w:pPr>
        <w:spacing w:after="0" w:line="480" w:lineRule="auto"/>
        <w:jc w:val="both"/>
        <w:rPr>
          <w:rFonts w:ascii="Times New Roman" w:hAnsi="Times New Roman" w:cs="Times New Roman"/>
          <w:sz w:val="24"/>
          <w:szCs w:val="24"/>
        </w:rPr>
      </w:pPr>
    </w:p>
    <w:p w14:paraId="7129B388" w14:textId="7834DC19" w:rsidR="00B21105" w:rsidRPr="004664FE" w:rsidRDefault="008968D6" w:rsidP="00F136CC">
      <w:pPr>
        <w:spacing w:after="0" w:line="480" w:lineRule="auto"/>
        <w:jc w:val="both"/>
        <w:rPr>
          <w:rFonts w:ascii="Times New Roman" w:hAnsi="Times New Roman" w:cs="Times New Roman"/>
          <w:sz w:val="24"/>
          <w:szCs w:val="24"/>
        </w:rPr>
      </w:pPr>
      <w:r w:rsidRPr="004664FE">
        <w:rPr>
          <w:rFonts w:ascii="Times New Roman" w:hAnsi="Times New Roman" w:cs="Times New Roman"/>
          <w:b/>
          <w:sz w:val="24"/>
          <w:szCs w:val="24"/>
        </w:rPr>
        <w:t>Keywords:</w:t>
      </w:r>
    </w:p>
    <w:p w14:paraId="2135EBD6" w14:textId="39C6B7BD" w:rsidR="006220EC" w:rsidRPr="004664FE" w:rsidRDefault="008968D6" w:rsidP="000E69D0">
      <w:pPr>
        <w:spacing w:after="0" w:line="480" w:lineRule="auto"/>
        <w:jc w:val="both"/>
        <w:rPr>
          <w:rFonts w:ascii="Times New Roman" w:hAnsi="Times New Roman" w:cs="Times New Roman"/>
          <w:sz w:val="24"/>
          <w:szCs w:val="24"/>
        </w:rPr>
      </w:pPr>
      <w:r w:rsidRPr="004664FE">
        <w:rPr>
          <w:rFonts w:ascii="Times New Roman" w:hAnsi="Times New Roman" w:cs="Times New Roman"/>
          <w:sz w:val="24"/>
          <w:szCs w:val="24"/>
        </w:rPr>
        <w:t>Environmental innovation; sustainable development; financial performance; firm age; longitudinal analysis</w:t>
      </w:r>
      <w:r w:rsidR="0083110A">
        <w:rPr>
          <w:rFonts w:ascii="Times New Roman" w:hAnsi="Times New Roman" w:cs="Times New Roman"/>
          <w:sz w:val="24"/>
          <w:szCs w:val="24"/>
        </w:rPr>
        <w:t>; patents.</w:t>
      </w:r>
      <w:r w:rsidRPr="004664FE">
        <w:rPr>
          <w:rFonts w:ascii="Times New Roman" w:hAnsi="Times New Roman" w:cs="Times New Roman"/>
          <w:sz w:val="24"/>
          <w:szCs w:val="24"/>
        </w:rPr>
        <w:br w:type="page"/>
      </w:r>
    </w:p>
    <w:p w14:paraId="02DB220B" w14:textId="1EECB5C7" w:rsidR="00B21105" w:rsidRPr="004664FE" w:rsidRDefault="008968D6" w:rsidP="00B21105">
      <w:pPr>
        <w:spacing w:after="0" w:line="480" w:lineRule="auto"/>
        <w:jc w:val="center"/>
        <w:rPr>
          <w:rFonts w:ascii="Times New Roman" w:hAnsi="Times New Roman" w:cs="Times New Roman"/>
          <w:b/>
          <w:color w:val="000000"/>
          <w:sz w:val="24"/>
          <w:szCs w:val="24"/>
        </w:rPr>
      </w:pPr>
      <w:r w:rsidRPr="004664FE">
        <w:rPr>
          <w:rFonts w:ascii="Times New Roman" w:hAnsi="Times New Roman" w:cs="Times New Roman"/>
          <w:b/>
          <w:color w:val="000000"/>
          <w:sz w:val="24"/>
          <w:szCs w:val="24"/>
        </w:rPr>
        <w:lastRenderedPageBreak/>
        <w:t>INTRODUCTION</w:t>
      </w:r>
    </w:p>
    <w:p w14:paraId="596B8626" w14:textId="7B820CC1" w:rsidR="00AB787E" w:rsidRPr="004664FE" w:rsidRDefault="008968D6" w:rsidP="00AB787E">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Environmental innovations are becoming an increasingly salient topic. Governments all over the world are establishing these innovations as a priority in their political agendas (Bai, Song, Jiao, &amp; Yang, 2019; European Commission, 2019) in the hope that environmental innovations will not only reduce ecological impacts but also generate valuable competitive advantages (Aragon-Correa, Marcus, &amp; Vogel, 2020; Bohnsack, 2018). For example, the European Union has established environmental innovations as a cornerstone in its innovation strategy (European Commission, 2019), and China is subsidizing environmental innovation technologies in a variety of strategic sectors, such as the automobile and energy industries (Bai, et al., 2019). In addition, companies are making greater effort to develop these technologies as a response to consumers’ increasing demands </w:t>
      </w:r>
      <w:r w:rsidRPr="004664FE">
        <w:rPr>
          <w:rFonts w:ascii="Times New Roman" w:eastAsia="Calibri" w:hAnsi="Times New Roman" w:cs="Times New Roman"/>
          <w:sz w:val="24"/>
          <w:szCs w:val="24"/>
        </w:rPr>
        <w:t>for</w:t>
      </w:r>
      <w:r w:rsidRPr="004664FE">
        <w:rPr>
          <w:rFonts w:ascii="Times New Roman" w:hAnsi="Times New Roman" w:cs="Times New Roman"/>
          <w:sz w:val="24"/>
          <w:szCs w:val="24"/>
        </w:rPr>
        <w:t xml:space="preserve"> environmentally friendly products and services, </w:t>
      </w:r>
      <w:r w:rsidRPr="004664FE">
        <w:rPr>
          <w:rFonts w:ascii="Times New Roman" w:eastAsia="Calibri" w:hAnsi="Times New Roman" w:cs="Times New Roman"/>
          <w:sz w:val="24"/>
          <w:szCs w:val="24"/>
        </w:rPr>
        <w:t>such as</w:t>
      </w:r>
      <w:r w:rsidRPr="004664FE">
        <w:rPr>
          <w:rFonts w:ascii="Times New Roman" w:hAnsi="Times New Roman" w:cs="Times New Roman"/>
          <w:sz w:val="24"/>
          <w:szCs w:val="24"/>
        </w:rPr>
        <w:t xml:space="preserve"> renewable energy solutions (e.g.</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Standard &amp; Poor, 2019). As such, the global market of environmental innovations and sustainability is forecasted to grow from $8.7 billion in 2019 to $28.9 billion by 2024, </w:t>
      </w:r>
      <w:r w:rsidRPr="004664FE">
        <w:rPr>
          <w:rFonts w:ascii="Times New Roman" w:eastAsia="Calibri" w:hAnsi="Times New Roman" w:cs="Times New Roman"/>
          <w:sz w:val="24"/>
          <w:szCs w:val="24"/>
        </w:rPr>
        <w:t>which</w:t>
      </w:r>
      <w:r w:rsidRPr="004664FE">
        <w:rPr>
          <w:rFonts w:ascii="Times New Roman" w:hAnsi="Times New Roman" w:cs="Times New Roman"/>
          <w:sz w:val="24"/>
          <w:szCs w:val="24"/>
        </w:rPr>
        <w:t xml:space="preserve"> represents an annual 27.1% increase (Business Wire, 2019).</w:t>
      </w:r>
    </w:p>
    <w:p w14:paraId="0D063AB2" w14:textId="08DD95D0" w:rsidR="00AB787E" w:rsidRPr="004664FE" w:rsidRDefault="008968D6" w:rsidP="00AB787E">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Environmental innovations can be defined as “measures of relevant actors, which: (i) develop new ideas, behavior, products and processes, apply or introduce them, and (ii) contribute to a reduction of environmental burdens or to ecologically specified sustainability targets” (Rennings, 2000: 322). However, despite this growing interest toward environmental innovations, works have not reached a consensus about their net effect </w:t>
      </w:r>
      <w:r w:rsidRPr="004664FE">
        <w:rPr>
          <w:rFonts w:ascii="Times New Roman" w:eastAsia="Calibri" w:hAnsi="Times New Roman" w:cs="Times New Roman"/>
          <w:sz w:val="24"/>
          <w:szCs w:val="24"/>
        </w:rPr>
        <w:t>on</w:t>
      </w:r>
      <w:r w:rsidRPr="004664FE">
        <w:rPr>
          <w:rFonts w:ascii="Times New Roman" w:hAnsi="Times New Roman" w:cs="Times New Roman"/>
          <w:sz w:val="24"/>
          <w:szCs w:val="24"/>
        </w:rPr>
        <w:t xml:space="preserve"> performance, thus nurturing an intense debate on this subject (Ghisetti &amp; Rennings, 2014). Advocators argue that environmental innovations can be positive not only for the environment but also for firm performance (Caviggioli, 2016; Chen, 2008; Dangelico, 2016).</w:t>
      </w:r>
      <w:r w:rsidRPr="004664FE">
        <w:rPr>
          <w:rFonts w:ascii="Times New Roman" w:eastAsia="Calibri" w:hAnsi="Times New Roman" w:cs="Times New Roman"/>
          <w:sz w:val="24"/>
          <w:szCs w:val="24"/>
        </w:rPr>
        <w:t xml:space="preserve"> </w:t>
      </w:r>
      <w:r w:rsidRPr="004664FE">
        <w:rPr>
          <w:rFonts w:ascii="Times New Roman" w:hAnsi="Times New Roman" w:cs="Times New Roman"/>
          <w:sz w:val="24"/>
          <w:szCs w:val="24"/>
        </w:rPr>
        <w:t>On the other hand, other studies have shown no relation or even a negative relationship between</w:t>
      </w:r>
      <w:r w:rsidRPr="004664FE">
        <w:rPr>
          <w:rFonts w:ascii="Times New Roman" w:eastAsia="Calibri" w:hAnsi="Times New Roman" w:cs="Times New Roman"/>
          <w:sz w:val="24"/>
          <w:szCs w:val="24"/>
        </w:rPr>
        <w:t xml:space="preserve"> a</w:t>
      </w:r>
      <w:r w:rsidRPr="004664FE">
        <w:rPr>
          <w:rFonts w:ascii="Times New Roman" w:hAnsi="Times New Roman" w:cs="Times New Roman"/>
          <w:sz w:val="24"/>
          <w:szCs w:val="24"/>
        </w:rPr>
        <w:t xml:space="preserve"> firm’s environmental innovation and the firm’s performance (Driessen, Hillebrand, Kok &amp; Verhallen, 2013; Hussain, </w:t>
      </w:r>
      <w:r w:rsidRPr="004664FE">
        <w:rPr>
          <w:rFonts w:ascii="Times New Roman" w:hAnsi="Times New Roman" w:cs="Times New Roman"/>
          <w:sz w:val="24"/>
          <w:szCs w:val="24"/>
        </w:rPr>
        <w:lastRenderedPageBreak/>
        <w:t xml:space="preserve">Rigoni, &amp; Cavezzali, 2018). In this regard, we try to shed some light on this debate by arguing that the relationship between environmental innovation and firm performance is more complex than the traditionally argued linear relationship. More specifically, we propose that the relationship has an inverted U shape. That is, a moderate and advanced use of environmental innovations yields positive results for the company, </w:t>
      </w:r>
      <w:r w:rsidR="00935C00" w:rsidRPr="004664FE">
        <w:rPr>
          <w:rFonts w:ascii="Times New Roman" w:hAnsi="Times New Roman"/>
          <w:sz w:val="24"/>
        </w:rPr>
        <w:t xml:space="preserve">but “excessive” use of these innovations potentiates </w:t>
      </w:r>
      <w:r w:rsidR="00935C00" w:rsidRPr="004664FE">
        <w:rPr>
          <w:rFonts w:ascii="Times New Roman" w:hAnsi="Times New Roman" w:cs="Times New Roman"/>
          <w:sz w:val="24"/>
          <w:szCs w:val="24"/>
        </w:rPr>
        <w:t xml:space="preserve">their </w:t>
      </w:r>
      <w:r w:rsidR="00935C00" w:rsidRPr="004664FE">
        <w:rPr>
          <w:rFonts w:ascii="Times New Roman" w:hAnsi="Times New Roman"/>
          <w:sz w:val="24"/>
        </w:rPr>
        <w:t xml:space="preserve">negative aspects such as complexity and uncertainty, </w:t>
      </w:r>
      <w:r w:rsidR="00935C00" w:rsidRPr="004664FE">
        <w:rPr>
          <w:rFonts w:ascii="Times New Roman" w:hAnsi="Times New Roman" w:cs="Times New Roman"/>
          <w:sz w:val="24"/>
          <w:szCs w:val="24"/>
        </w:rPr>
        <w:t>hence generating</w:t>
      </w:r>
      <w:r w:rsidR="00935C00" w:rsidRPr="004664FE">
        <w:rPr>
          <w:rFonts w:ascii="Times New Roman" w:hAnsi="Times New Roman"/>
          <w:sz w:val="24"/>
        </w:rPr>
        <w:t xml:space="preserve"> a negative </w:t>
      </w:r>
      <w:r w:rsidR="00935C00" w:rsidRPr="004664FE">
        <w:rPr>
          <w:rFonts w:ascii="Times New Roman" w:hAnsi="Times New Roman" w:cs="Times New Roman"/>
          <w:sz w:val="24"/>
          <w:szCs w:val="24"/>
        </w:rPr>
        <w:t>marginal effect</w:t>
      </w:r>
      <w:r w:rsidR="00935C00" w:rsidRPr="004664FE">
        <w:rPr>
          <w:rFonts w:ascii="Times New Roman" w:hAnsi="Times New Roman"/>
          <w:sz w:val="24"/>
        </w:rPr>
        <w:t xml:space="preserve"> for the company.</w:t>
      </w:r>
    </w:p>
    <w:p w14:paraId="43067ECE" w14:textId="7EC97BAB" w:rsidR="00AB787E" w:rsidRPr="004664FE" w:rsidRDefault="008968D6" w:rsidP="009F72A3">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To complement previous ideas, we should not ignore the fact that as companies mature over time, the relationship between the introduction of environmental innovations and firm performance may change. In other words, firm age is a contingency that can alter the nature of the proposed relation (D’Amato &amp; Falivena, 2019; Leoncini, Marzucchi, Montresor &amp; Rentocchini, 2019). The firm life cycle suggests that firms go through different stages of organizational development as time goes by and that can alter the returns they obtain from their innovative activities (Coad, Segarra &amp; Teruel, 2016). As a result, </w:t>
      </w:r>
      <w:r w:rsidR="006E216A" w:rsidRPr="004664FE">
        <w:rPr>
          <w:rFonts w:ascii="Times New Roman" w:hAnsi="Times New Roman"/>
          <w:sz w:val="24"/>
        </w:rPr>
        <w:t xml:space="preserve">previous studies </w:t>
      </w:r>
      <w:r w:rsidR="006E216A" w:rsidRPr="004664FE">
        <w:rPr>
          <w:rFonts w:ascii="Times New Roman" w:hAnsi="Times New Roman" w:cs="Times New Roman"/>
          <w:sz w:val="24"/>
          <w:szCs w:val="24"/>
        </w:rPr>
        <w:t>point out</w:t>
      </w:r>
      <w:r w:rsidR="006E216A" w:rsidRPr="004664FE">
        <w:rPr>
          <w:rFonts w:ascii="Times New Roman" w:hAnsi="Times New Roman"/>
          <w:sz w:val="24"/>
        </w:rPr>
        <w:t xml:space="preserve"> that </w:t>
      </w:r>
      <w:r w:rsidR="006E216A" w:rsidRPr="004664FE">
        <w:rPr>
          <w:rFonts w:ascii="Times New Roman" w:hAnsi="Times New Roman" w:cs="Times New Roman"/>
          <w:sz w:val="24"/>
          <w:szCs w:val="24"/>
        </w:rPr>
        <w:t>age is a factor that could impair firm</w:t>
      </w:r>
      <w:r w:rsidR="006E216A" w:rsidRPr="004664FE">
        <w:rPr>
          <w:rFonts w:ascii="Times New Roman" w:hAnsi="Times New Roman"/>
          <w:sz w:val="24"/>
        </w:rPr>
        <w:t xml:space="preserve"> performance, </w:t>
      </w:r>
      <w:r w:rsidR="006E216A" w:rsidRPr="004664FE">
        <w:rPr>
          <w:rFonts w:ascii="Times New Roman" w:hAnsi="Times New Roman" w:cs="Times New Roman"/>
          <w:sz w:val="24"/>
          <w:szCs w:val="24"/>
        </w:rPr>
        <w:t>as it brings about</w:t>
      </w:r>
      <w:r w:rsidR="006E216A" w:rsidRPr="004664FE">
        <w:rPr>
          <w:rFonts w:ascii="Times New Roman" w:hAnsi="Times New Roman"/>
          <w:sz w:val="24"/>
        </w:rPr>
        <w:t xml:space="preserve"> inertia and rigidities</w:t>
      </w:r>
      <w:r w:rsidR="006E216A" w:rsidRPr="004664FE">
        <w:rPr>
          <w:rFonts w:ascii="Times New Roman" w:hAnsi="Times New Roman" w:cs="Times New Roman"/>
          <w:sz w:val="24"/>
          <w:szCs w:val="24"/>
        </w:rPr>
        <w:t xml:space="preserve"> that lower flexibility</w:t>
      </w:r>
      <w:r w:rsidR="006E216A" w:rsidRPr="004664FE">
        <w:rPr>
          <w:rFonts w:ascii="Times New Roman" w:hAnsi="Times New Roman"/>
          <w:sz w:val="24"/>
        </w:rPr>
        <w:t xml:space="preserve"> and </w:t>
      </w:r>
      <w:r w:rsidR="006E216A" w:rsidRPr="004664FE">
        <w:rPr>
          <w:rFonts w:ascii="Times New Roman" w:hAnsi="Times New Roman" w:cs="Times New Roman"/>
          <w:sz w:val="24"/>
          <w:szCs w:val="24"/>
        </w:rPr>
        <w:t>discourage change</w:t>
      </w:r>
      <w:r w:rsidR="00054181" w:rsidRPr="004664FE">
        <w:rPr>
          <w:rFonts w:ascii="Times New Roman" w:hAnsi="Times New Roman" w:cs="Times New Roman"/>
          <w:sz w:val="24"/>
          <w:szCs w:val="24"/>
        </w:rPr>
        <w:t>. Thus</w:t>
      </w:r>
      <w:r w:rsidR="006E216A" w:rsidRPr="004664FE">
        <w:rPr>
          <w:rFonts w:ascii="Times New Roman" w:hAnsi="Times New Roman" w:cs="Times New Roman"/>
          <w:sz w:val="24"/>
          <w:szCs w:val="24"/>
        </w:rPr>
        <w:t>, it can be more challenging for older firms to identify valuable signals and innovation opportunities in the environment</w:t>
      </w:r>
      <w:r w:rsidR="006E216A" w:rsidRPr="004664FE">
        <w:rPr>
          <w:rFonts w:ascii="Times New Roman" w:hAnsi="Times New Roman"/>
          <w:sz w:val="24"/>
        </w:rPr>
        <w:t xml:space="preserve"> (Hannan &amp; Freeman, 1984; Leonard-Barton, 1992; Rossi, 2016).</w:t>
      </w:r>
      <w:r w:rsidRPr="004664FE">
        <w:rPr>
          <w:rFonts w:ascii="Times New Roman" w:hAnsi="Times New Roman" w:cs="Times New Roman"/>
          <w:sz w:val="24"/>
          <w:szCs w:val="24"/>
        </w:rPr>
        <w:t xml:space="preserve"> To extend current research, in this study</w:t>
      </w:r>
      <w:r w:rsidRPr="004664FE">
        <w:rPr>
          <w:rFonts w:ascii="Times New Roman" w:eastAsia="Calibri" w:hAnsi="Times New Roman" w:cs="Times New Roman"/>
          <w:sz w:val="24"/>
          <w:szCs w:val="24"/>
        </w:rPr>
        <w:t>,</w:t>
      </w:r>
      <w:r w:rsidR="00BD42EC" w:rsidRPr="004664FE">
        <w:rPr>
          <w:rFonts w:ascii="Times New Roman" w:hAnsi="Times New Roman" w:cs="Times New Roman"/>
          <w:sz w:val="24"/>
          <w:szCs w:val="24"/>
        </w:rPr>
        <w:t xml:space="preserve"> we evaluate the impact that firm age has on the relationship between environmental innovation and firm performance.</w:t>
      </w:r>
    </w:p>
    <w:p w14:paraId="6B3B6AE4" w14:textId="750E4C01" w:rsidR="00AB787E" w:rsidRPr="004664FE" w:rsidRDefault="008968D6" w:rsidP="003C1949">
      <w:pPr>
        <w:spacing w:after="0" w:line="480" w:lineRule="auto"/>
        <w:ind w:firstLine="708"/>
        <w:jc w:val="both"/>
        <w:rPr>
          <w:rFonts w:ascii="Times New Roman" w:hAnsi="Times New Roman" w:cs="Times New Roman"/>
          <w:sz w:val="24"/>
          <w:szCs w:val="24"/>
        </w:rPr>
      </w:pPr>
      <w:r w:rsidRPr="004664FE">
        <w:rPr>
          <w:rFonts w:ascii="Times New Roman" w:eastAsia="Calibri" w:hAnsi="Times New Roman" w:cs="Times New Roman"/>
          <w:sz w:val="24"/>
          <w:szCs w:val="24"/>
        </w:rPr>
        <w:t xml:space="preserve">Based on previous arguments, we </w:t>
      </w:r>
      <w:r w:rsidR="00054181" w:rsidRPr="004664FE">
        <w:rPr>
          <w:rFonts w:ascii="Times New Roman" w:eastAsia="Calibri" w:hAnsi="Times New Roman" w:cs="Times New Roman"/>
          <w:sz w:val="24"/>
          <w:szCs w:val="24"/>
        </w:rPr>
        <w:t>address</w:t>
      </w:r>
      <w:r w:rsidRPr="004664FE">
        <w:rPr>
          <w:rFonts w:ascii="Times New Roman" w:eastAsia="Calibri" w:hAnsi="Times New Roman" w:cs="Times New Roman"/>
          <w:sz w:val="24"/>
          <w:szCs w:val="24"/>
        </w:rPr>
        <w:t xml:space="preserve"> the following research questions: </w:t>
      </w:r>
      <w:r w:rsidR="00054181" w:rsidRPr="004664FE">
        <w:rPr>
          <w:rFonts w:ascii="Times New Roman" w:hAnsi="Times New Roman" w:cs="Times New Roman"/>
          <w:color w:val="323130"/>
          <w:sz w:val="24"/>
          <w:szCs w:val="24"/>
          <w:shd w:val="clear" w:color="auto" w:fill="FFFFFF"/>
        </w:rPr>
        <w:t>I</w:t>
      </w:r>
      <w:r w:rsidRPr="004664FE">
        <w:rPr>
          <w:rFonts w:ascii="Times New Roman" w:hAnsi="Times New Roman" w:cs="Times New Roman"/>
          <w:color w:val="323130"/>
          <w:sz w:val="24"/>
          <w:szCs w:val="24"/>
          <w:shd w:val="clear" w:color="auto" w:fill="FFFFFF"/>
        </w:rPr>
        <w:t>s there an inverted U</w:t>
      </w:r>
      <w:r w:rsidR="00054181" w:rsidRPr="004664FE">
        <w:rPr>
          <w:rFonts w:ascii="Times New Roman" w:hAnsi="Times New Roman" w:cs="Times New Roman"/>
          <w:color w:val="323130"/>
          <w:sz w:val="24"/>
          <w:szCs w:val="24"/>
          <w:shd w:val="clear" w:color="auto" w:fill="FFFFFF"/>
        </w:rPr>
        <w:t>-</w:t>
      </w:r>
      <w:r w:rsidRPr="004664FE">
        <w:rPr>
          <w:rFonts w:ascii="Times New Roman" w:hAnsi="Times New Roman" w:cs="Times New Roman"/>
          <w:color w:val="323130"/>
          <w:sz w:val="24"/>
          <w:szCs w:val="24"/>
          <w:shd w:val="clear" w:color="auto" w:fill="FFFFFF"/>
        </w:rPr>
        <w:t>shape</w:t>
      </w:r>
      <w:r w:rsidR="00054181" w:rsidRPr="004664FE">
        <w:rPr>
          <w:rFonts w:ascii="Times New Roman" w:hAnsi="Times New Roman" w:cs="Times New Roman"/>
          <w:color w:val="323130"/>
          <w:sz w:val="24"/>
          <w:szCs w:val="24"/>
          <w:shd w:val="clear" w:color="auto" w:fill="FFFFFF"/>
        </w:rPr>
        <w:t>d</w:t>
      </w:r>
      <w:r w:rsidRPr="004664FE">
        <w:rPr>
          <w:rFonts w:ascii="Times New Roman" w:hAnsi="Times New Roman" w:cs="Times New Roman"/>
          <w:color w:val="323130"/>
          <w:sz w:val="24"/>
          <w:szCs w:val="24"/>
          <w:shd w:val="clear" w:color="auto" w:fill="FFFFFF"/>
        </w:rPr>
        <w:t xml:space="preserve"> relationship between </w:t>
      </w:r>
      <w:r w:rsidRPr="004664FE">
        <w:rPr>
          <w:rFonts w:ascii="Times New Roman" w:hAnsi="Times New Roman" w:cs="Times New Roman"/>
          <w:sz w:val="24"/>
          <w:szCs w:val="24"/>
        </w:rPr>
        <w:t xml:space="preserve">green innovative activities and firms’ market-based performance? And how does firm age moderate </w:t>
      </w:r>
      <w:r w:rsidR="00054181" w:rsidRPr="004664FE">
        <w:rPr>
          <w:rFonts w:ascii="Times New Roman" w:hAnsi="Times New Roman" w:cs="Times New Roman"/>
          <w:sz w:val="24"/>
          <w:szCs w:val="24"/>
        </w:rPr>
        <w:t>this relationship</w:t>
      </w:r>
      <w:r w:rsidRPr="004664FE">
        <w:rPr>
          <w:rFonts w:ascii="Times New Roman" w:hAnsi="Times New Roman" w:cs="Times New Roman"/>
          <w:sz w:val="24"/>
          <w:szCs w:val="24"/>
        </w:rPr>
        <w:t xml:space="preserve">? </w:t>
      </w:r>
      <w:r w:rsidR="008768BD" w:rsidRPr="004664FE">
        <w:rPr>
          <w:rFonts w:ascii="Times New Roman" w:eastAsia="Calibri" w:hAnsi="Times New Roman" w:cs="Times New Roman"/>
          <w:sz w:val="24"/>
          <w:szCs w:val="24"/>
        </w:rPr>
        <w:t>To answer</w:t>
      </w:r>
      <w:r w:rsidR="007F39AF" w:rsidRPr="004664FE">
        <w:rPr>
          <w:rFonts w:ascii="Times New Roman" w:hAnsi="Times New Roman" w:cs="Times New Roman"/>
          <w:sz w:val="24"/>
          <w:szCs w:val="24"/>
        </w:rPr>
        <w:t xml:space="preserve"> these questions, we conduct a longitudinal analysis over the period of 2006-2009 of 75 companies from the electrical components and equipment industry worldwide, resulting </w:t>
      </w:r>
      <w:r w:rsidR="001C5379" w:rsidRPr="004664FE">
        <w:rPr>
          <w:rFonts w:ascii="Times New Roman" w:eastAsia="Calibri" w:hAnsi="Times New Roman" w:cs="Times New Roman"/>
          <w:sz w:val="24"/>
          <w:szCs w:val="24"/>
        </w:rPr>
        <w:t>in</w:t>
      </w:r>
      <w:r w:rsidR="007F39AF" w:rsidRPr="004664FE">
        <w:rPr>
          <w:rFonts w:ascii="Times New Roman" w:hAnsi="Times New Roman" w:cs="Times New Roman"/>
          <w:sz w:val="24"/>
          <w:szCs w:val="24"/>
        </w:rPr>
        <w:t xml:space="preserve"> a total of 4,634 </w:t>
      </w:r>
      <w:r w:rsidR="007F39AF" w:rsidRPr="004664FE">
        <w:rPr>
          <w:rFonts w:ascii="Times New Roman" w:hAnsi="Times New Roman" w:cs="Times New Roman"/>
          <w:sz w:val="24"/>
          <w:szCs w:val="24"/>
        </w:rPr>
        <w:lastRenderedPageBreak/>
        <w:t xml:space="preserve">environmental patents analyzed. Our results show that the relationship between environmental innovation and firm performance goes beyond a simple linear trend, thus showing </w:t>
      </w:r>
      <w:r w:rsidR="003D2F65" w:rsidRPr="004664FE">
        <w:rPr>
          <w:rFonts w:ascii="Times New Roman" w:eastAsia="Calibri" w:hAnsi="Times New Roman" w:cs="Times New Roman"/>
          <w:sz w:val="24"/>
          <w:szCs w:val="24"/>
        </w:rPr>
        <w:t>an inverted U</w:t>
      </w:r>
      <w:r w:rsidR="007F39AF" w:rsidRPr="004664FE">
        <w:rPr>
          <w:rFonts w:ascii="Times New Roman" w:hAnsi="Times New Roman" w:cs="Times New Roman"/>
          <w:sz w:val="24"/>
          <w:szCs w:val="24"/>
        </w:rPr>
        <w:t xml:space="preserve"> relationship. Additionally, our study analyzes the key role played by firm age in this relationship. In particular, we show that more mature firms have more difficulty capitalizing on environmental innovations to improve firm performance than younger firms. In other words, younger firms may “flatten” the negative curvilinear relationship between environmental innovations and firm performance.</w:t>
      </w:r>
    </w:p>
    <w:p w14:paraId="2736E5CB" w14:textId="5FEF4F9D" w:rsidR="00AB787E" w:rsidRPr="004664FE" w:rsidRDefault="008968D6" w:rsidP="00665E8C">
      <w:pPr>
        <w:spacing w:line="480" w:lineRule="auto"/>
        <w:ind w:firstLine="708"/>
        <w:jc w:val="both"/>
        <w:rPr>
          <w:rFonts w:ascii="Times New Roman" w:hAnsi="Times New Roman" w:cs="Times New Roman"/>
          <w:sz w:val="24"/>
          <w:szCs w:val="24"/>
        </w:rPr>
      </w:pPr>
      <w:bookmarkStart w:id="0" w:name="_Hlk64564832"/>
      <w:bookmarkStart w:id="1" w:name="_Hlk65660666"/>
      <w:r w:rsidRPr="004664FE">
        <w:rPr>
          <w:rFonts w:ascii="Times New Roman" w:hAnsi="Times New Roman" w:cs="Times New Roman"/>
          <w:sz w:val="24"/>
          <w:szCs w:val="24"/>
        </w:rPr>
        <w:t>Our work makes several contributions to the literature. First, we contribute to the debate about the convenience (or inconvenience) of sustainable strategies for better firm performance (e.g.</w:t>
      </w:r>
      <w:r w:rsidRPr="004664FE">
        <w:rPr>
          <w:rFonts w:ascii="Times New Roman" w:eastAsia="Calibri" w:hAnsi="Times New Roman" w:cs="Times New Roman"/>
          <w:sz w:val="24"/>
          <w:szCs w:val="24"/>
        </w:rPr>
        <w:t>,</w:t>
      </w:r>
      <w:r w:rsidR="00F82799" w:rsidRPr="004664FE">
        <w:rPr>
          <w:rFonts w:ascii="Times New Roman" w:hAnsi="Times New Roman" w:cs="Times New Roman"/>
          <w:sz w:val="24"/>
          <w:szCs w:val="24"/>
        </w:rPr>
        <w:t xml:space="preserve"> Ghisetti &amp; Rennings, 2014) by analyzing environmental innovations. Previous studies have attempted to address this issue by employing several measures of sustainability performance, such as reputation indexes, environmental practices disclosure, corporate philanthropy, analyses of sustainability reports, etc. While these works show a plausible effort to understand the complex nature of sustainability, the measures employed may not be as narrowly defined and comparable as environmental patents. For instance, in their remarkable analysis of sustainability reports, Hussain et al. (2018) recognize that the variables employed “are broad, [and] not verifiable, measures of firm sustainability disclosure” (p.1202). Similarly, Berrone, Fosfuri, Gelabert, &amp; Gomez–Mejia (2013) recommend analyzing environmental innovations with patents instead of questionnaire surveys, as they consider that the latter “could be seriously biased as respondents may tend to present a socially desirable image of themselves or their companies” (p.892).</w:t>
      </w:r>
      <w:bookmarkEnd w:id="0"/>
      <w:r w:rsidR="0020649B" w:rsidRPr="004664FE">
        <w:rPr>
          <w:rFonts w:ascii="Times New Roman" w:hAnsi="Times New Roman" w:cs="Times New Roman"/>
          <w:sz w:val="24"/>
          <w:szCs w:val="24"/>
        </w:rPr>
        <w:t xml:space="preserve"> </w:t>
      </w:r>
      <w:bookmarkEnd w:id="1"/>
      <w:r w:rsidR="0020649B" w:rsidRPr="004664FE">
        <w:rPr>
          <w:rFonts w:ascii="Times New Roman" w:hAnsi="Times New Roman" w:cs="Times New Roman"/>
          <w:sz w:val="24"/>
          <w:szCs w:val="24"/>
        </w:rPr>
        <w:t xml:space="preserve">Second, by focusing on environmental innovations, we contribute to the emerging </w:t>
      </w:r>
      <w:r w:rsidR="00054181" w:rsidRPr="004664FE">
        <w:rPr>
          <w:rFonts w:ascii="Times New Roman" w:hAnsi="Times New Roman" w:cs="Times New Roman"/>
          <w:sz w:val="24"/>
          <w:szCs w:val="24"/>
        </w:rPr>
        <w:t>research that calls</w:t>
      </w:r>
      <w:r w:rsidR="0020649B" w:rsidRPr="004664FE">
        <w:rPr>
          <w:rFonts w:ascii="Times New Roman" w:hAnsi="Times New Roman" w:cs="Times New Roman"/>
          <w:sz w:val="24"/>
          <w:szCs w:val="24"/>
        </w:rPr>
        <w:t xml:space="preserve"> for </w:t>
      </w:r>
      <w:r w:rsidR="00054181" w:rsidRPr="004664FE">
        <w:rPr>
          <w:rFonts w:ascii="Times New Roman" w:hAnsi="Times New Roman" w:cs="Times New Roman"/>
          <w:sz w:val="24"/>
          <w:szCs w:val="24"/>
        </w:rPr>
        <w:t xml:space="preserve">a </w:t>
      </w:r>
      <w:r w:rsidR="0020649B" w:rsidRPr="004664FE">
        <w:rPr>
          <w:rFonts w:ascii="Times New Roman" w:hAnsi="Times New Roman" w:cs="Times New Roman"/>
          <w:sz w:val="24"/>
          <w:szCs w:val="24"/>
        </w:rPr>
        <w:t>better understanding of such innovations (e.g.</w:t>
      </w:r>
      <w:r w:rsidR="0020649B"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Berrone, et al., 2013; Dangelico, 2016). More specifically, we answer Lee &amp; Min’s (2015) </w:t>
      </w:r>
      <w:r w:rsidR="00054181" w:rsidRPr="004664FE">
        <w:rPr>
          <w:rFonts w:ascii="Times New Roman" w:hAnsi="Times New Roman" w:cs="Times New Roman"/>
          <w:sz w:val="24"/>
          <w:szCs w:val="24"/>
        </w:rPr>
        <w:t>assertion</w:t>
      </w:r>
      <w:r w:rsidRPr="004664FE">
        <w:rPr>
          <w:rFonts w:ascii="Times New Roman" w:hAnsi="Times New Roman" w:cs="Times New Roman"/>
          <w:sz w:val="24"/>
          <w:szCs w:val="24"/>
        </w:rPr>
        <w:t xml:space="preserve"> that “more research on the impact of eco-innovation on firm performance is needed” (Lee &amp; Min, 2015: 535). We do so by going beyond the linear relationship proposed in previous literature </w:t>
      </w:r>
      <w:r w:rsidRPr="004664FE">
        <w:rPr>
          <w:rFonts w:ascii="Times New Roman" w:hAnsi="Times New Roman" w:cs="Times New Roman"/>
          <w:sz w:val="24"/>
          <w:szCs w:val="24"/>
        </w:rPr>
        <w:lastRenderedPageBreak/>
        <w:t>and proposing more complex</w:t>
      </w:r>
      <w:r w:rsidRPr="004664FE">
        <w:rPr>
          <w:rFonts w:ascii="Times New Roman" w:eastAsia="Calibri" w:hAnsi="Times New Roman" w:cs="Times New Roman"/>
          <w:sz w:val="24"/>
          <w:szCs w:val="24"/>
        </w:rPr>
        <w:t xml:space="preserve"> </w:t>
      </w:r>
      <w:r w:rsidRPr="004664FE">
        <w:rPr>
          <w:rFonts w:ascii="Times New Roman" w:hAnsi="Times New Roman" w:cs="Times New Roman"/>
          <w:sz w:val="24"/>
          <w:szCs w:val="24"/>
        </w:rPr>
        <w:t>relations that may provide us</w:t>
      </w:r>
      <w:r w:rsidRPr="004664FE">
        <w:rPr>
          <w:rFonts w:ascii="Times New Roman" w:eastAsia="Calibri" w:hAnsi="Times New Roman" w:cs="Times New Roman"/>
          <w:sz w:val="24"/>
          <w:szCs w:val="24"/>
        </w:rPr>
        <w:t xml:space="preserve"> with</w:t>
      </w:r>
      <w:r w:rsidRPr="004664FE">
        <w:rPr>
          <w:rFonts w:ascii="Times New Roman" w:hAnsi="Times New Roman" w:cs="Times New Roman"/>
          <w:sz w:val="24"/>
          <w:szCs w:val="24"/>
        </w:rPr>
        <w:t xml:space="preserve"> a more nuanced understanding of the phenomenon. In this way, we also answer Dangelico’s (2016) call to “deepen our knowledge […] and understand [when] sustainability innovations lead to high performance” (Dangelico, 2016: 573). Finally, our research also accounts for the differential effects that environmental innovations have on firm performance when considering the firm age, hence extending the scarce literature that </w:t>
      </w:r>
      <w:r w:rsidR="00054181" w:rsidRPr="004664FE">
        <w:rPr>
          <w:rFonts w:ascii="Times New Roman" w:hAnsi="Times New Roman" w:cs="Times New Roman"/>
          <w:sz w:val="24"/>
          <w:szCs w:val="24"/>
        </w:rPr>
        <w:t>has started paying</w:t>
      </w:r>
      <w:r w:rsidRPr="004664FE">
        <w:rPr>
          <w:rFonts w:ascii="Times New Roman" w:hAnsi="Times New Roman" w:cs="Times New Roman"/>
          <w:sz w:val="24"/>
          <w:szCs w:val="24"/>
        </w:rPr>
        <w:t xml:space="preserve"> attention to the role of firm maturity in the development of environmental innovations (Leoncini et al., 2019).</w:t>
      </w:r>
    </w:p>
    <w:p w14:paraId="56D5E646" w14:textId="6E4E5CA7" w:rsidR="00EB1A71" w:rsidRPr="004664FE" w:rsidRDefault="008968D6" w:rsidP="00B21105">
      <w:pPr>
        <w:spacing w:after="0" w:line="480" w:lineRule="auto"/>
        <w:jc w:val="center"/>
        <w:rPr>
          <w:rFonts w:ascii="Times New Roman" w:hAnsi="Times New Roman" w:cs="Times New Roman"/>
          <w:sz w:val="24"/>
          <w:szCs w:val="24"/>
        </w:rPr>
      </w:pPr>
      <w:r w:rsidRPr="004664FE">
        <w:rPr>
          <w:rFonts w:ascii="Times New Roman" w:hAnsi="Times New Roman" w:cs="Times New Roman"/>
          <w:b/>
          <w:bCs/>
          <w:sz w:val="24"/>
          <w:szCs w:val="24"/>
        </w:rPr>
        <w:t>THEORETICAL DEVELOPMENT</w:t>
      </w:r>
    </w:p>
    <w:p w14:paraId="57F7AC3E" w14:textId="47DAAEFD" w:rsidR="00E845AB" w:rsidRPr="004664FE" w:rsidRDefault="008968D6" w:rsidP="00CA2BD2">
      <w:pPr>
        <w:spacing w:line="480" w:lineRule="auto"/>
        <w:ind w:firstLine="708"/>
        <w:jc w:val="both"/>
        <w:rPr>
          <w:rFonts w:ascii="Times New Roman" w:hAnsi="Times New Roman"/>
          <w:color w:val="323130"/>
          <w:sz w:val="24"/>
          <w:shd w:val="clear" w:color="auto" w:fill="FFFFFF"/>
        </w:rPr>
      </w:pPr>
      <w:r w:rsidRPr="004664FE">
        <w:rPr>
          <w:rFonts w:ascii="Times New Roman" w:hAnsi="Times New Roman"/>
          <w:color w:val="323130"/>
          <w:sz w:val="24"/>
          <w:shd w:val="clear" w:color="auto" w:fill="FFFFFF"/>
        </w:rPr>
        <w:t xml:space="preserve">While the analysis of environmental innovations is relatively </w:t>
      </w:r>
      <w:r w:rsidRPr="004664FE">
        <w:rPr>
          <w:rFonts w:ascii="Times New Roman" w:hAnsi="Times New Roman" w:cs="Times New Roman"/>
          <w:color w:val="323130"/>
          <w:sz w:val="24"/>
          <w:szCs w:val="24"/>
          <w:shd w:val="clear" w:color="auto" w:fill="FFFFFF"/>
        </w:rPr>
        <w:t>new</w:t>
      </w:r>
      <w:r w:rsidRPr="004664FE">
        <w:rPr>
          <w:rFonts w:ascii="Times New Roman" w:hAnsi="Times New Roman"/>
          <w:color w:val="323130"/>
          <w:sz w:val="24"/>
          <w:shd w:val="clear" w:color="auto" w:fill="FFFFFF"/>
        </w:rPr>
        <w:t xml:space="preserve">, the debate about the convenience (or inconvenience) of pursuing a sustainable strategy is far from new (Porter &amp; Van der Linde, 1995). </w:t>
      </w:r>
      <w:r w:rsidR="007F39AF" w:rsidRPr="004664FE">
        <w:rPr>
          <w:rFonts w:ascii="Times New Roman" w:hAnsi="Times New Roman" w:cs="Times New Roman"/>
          <w:sz w:val="24"/>
          <w:szCs w:val="24"/>
        </w:rPr>
        <w:t>On one hand, advocators of sustainability argue that a proactive environmental strategy yields positive firm performance due to achieving a better image (Chen, 2008), producing the opportunity to open a new market (Beise &amp; Rennings, 2005), more easily adapting to stricter regulations (Aragon-Correa, et al, 2020), etc. On the other hand, detractors of a sustainability approach state that this orientation hinders</w:t>
      </w:r>
      <w:r w:rsidR="007F39AF" w:rsidRPr="004664FE">
        <w:rPr>
          <w:rFonts w:ascii="Times New Roman" w:eastAsia="Calibri" w:hAnsi="Times New Roman" w:cs="Times New Roman"/>
          <w:sz w:val="24"/>
          <w:szCs w:val="24"/>
        </w:rPr>
        <w:t xml:space="preserve"> a</w:t>
      </w:r>
      <w:r w:rsidR="007F39AF" w:rsidRPr="004664FE">
        <w:rPr>
          <w:rFonts w:ascii="Times New Roman" w:hAnsi="Times New Roman" w:cs="Times New Roman"/>
          <w:sz w:val="24"/>
          <w:szCs w:val="24"/>
        </w:rPr>
        <w:t xml:space="preserve"> firm’s profitability</w:t>
      </w:r>
      <w:r w:rsidR="007F39AF" w:rsidRPr="004664FE">
        <w:rPr>
          <w:rFonts w:ascii="Times New Roman" w:eastAsia="Calibri" w:hAnsi="Times New Roman" w:cs="Times New Roman"/>
          <w:sz w:val="24"/>
          <w:szCs w:val="24"/>
        </w:rPr>
        <w:t>,</w:t>
      </w:r>
      <w:r w:rsidR="007F39AF" w:rsidRPr="004664FE">
        <w:rPr>
          <w:rFonts w:ascii="Times New Roman" w:hAnsi="Times New Roman" w:cs="Times New Roman"/>
          <w:sz w:val="24"/>
          <w:szCs w:val="24"/>
        </w:rPr>
        <w:t xml:space="preserve"> as it poses higher development costs (Bai et al., 2019), adds bureaucratic burdens (e.g.</w:t>
      </w:r>
      <w:r w:rsidR="007F39AF" w:rsidRPr="004664FE">
        <w:rPr>
          <w:rFonts w:ascii="Times New Roman" w:eastAsia="Calibri" w:hAnsi="Times New Roman" w:cs="Times New Roman"/>
          <w:sz w:val="24"/>
          <w:szCs w:val="24"/>
        </w:rPr>
        <w:t>,</w:t>
      </w:r>
      <w:r w:rsidR="007F39AF" w:rsidRPr="004664FE">
        <w:rPr>
          <w:rFonts w:ascii="Times New Roman" w:hAnsi="Times New Roman" w:cs="Times New Roman"/>
          <w:sz w:val="24"/>
          <w:szCs w:val="24"/>
        </w:rPr>
        <w:t xml:space="preserve"> environmental certifications; Delmas, 2002), and requires resources that could be deployed for other activities (Hussain et al., 2018). In this regard, we aim to contribute to the longstanding debate, “does it pay-off to be green”, by conducting a more profound analysis of environmental innovations.</w:t>
      </w:r>
    </w:p>
    <w:p w14:paraId="7B880170" w14:textId="289E39A2" w:rsidR="00A807A2" w:rsidRPr="004664FE" w:rsidRDefault="008968D6" w:rsidP="00810911">
      <w:pPr>
        <w:spacing w:line="480" w:lineRule="auto"/>
        <w:jc w:val="both"/>
        <w:rPr>
          <w:rFonts w:ascii="Times New Roman" w:eastAsia="Times New Roman" w:hAnsi="Times New Roman" w:cs="Times New Roman"/>
          <w:b/>
          <w:color w:val="201F1E"/>
          <w:sz w:val="24"/>
          <w:szCs w:val="24"/>
          <w:lang w:eastAsia="es-ES"/>
        </w:rPr>
      </w:pPr>
      <w:r w:rsidRPr="004664FE">
        <w:rPr>
          <w:rFonts w:ascii="Times New Roman" w:eastAsia="Times New Roman" w:hAnsi="Times New Roman" w:cs="Times New Roman"/>
          <w:b/>
          <w:color w:val="201F1E"/>
          <w:sz w:val="24"/>
          <w:szCs w:val="24"/>
          <w:lang w:eastAsia="es-ES"/>
        </w:rPr>
        <w:t>The relationship between environmental innovation and firm performance</w:t>
      </w:r>
    </w:p>
    <w:p w14:paraId="4E9C7DE7" w14:textId="5FF34097" w:rsidR="00A807A2" w:rsidRPr="004664FE" w:rsidRDefault="008968D6" w:rsidP="00272E83">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 Current concerns about sustainability issues (e.g., United Nations (UN) COP21 Paris Agreement, increasing activism toward climate change, environmental scandals, etc.) have given environmental innovation major importance in the competitive arena. For example, the UN agreement on climate change signed in 2015 in Paris stands on the commitment toward a </w:t>
      </w:r>
      <w:r w:rsidRPr="004664FE">
        <w:rPr>
          <w:rFonts w:ascii="Times New Roman" w:hAnsi="Times New Roman" w:cs="Times New Roman"/>
          <w:sz w:val="24"/>
          <w:szCs w:val="24"/>
        </w:rPr>
        <w:lastRenderedPageBreak/>
        <w:t xml:space="preserve">2-degrees Celsius maximum temperature increase by the end of this century (UN, 2016). According to the agreement, keeping the current production system will result </w:t>
      </w:r>
      <w:r w:rsidRPr="004664FE">
        <w:rPr>
          <w:rFonts w:ascii="Times New Roman" w:eastAsia="Calibri" w:hAnsi="Times New Roman" w:cs="Times New Roman"/>
          <w:sz w:val="24"/>
          <w:szCs w:val="24"/>
        </w:rPr>
        <w:t>in</w:t>
      </w:r>
      <w:r w:rsidRPr="004664FE">
        <w:rPr>
          <w:rFonts w:ascii="Times New Roman" w:hAnsi="Times New Roman" w:cs="Times New Roman"/>
          <w:sz w:val="24"/>
          <w:szCs w:val="24"/>
        </w:rPr>
        <w:t xml:space="preserve"> an increase of more than 4 degrees Celsius (UN, 2016)</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thus</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w:t>
      </w:r>
      <w:r w:rsidRPr="004664FE">
        <w:rPr>
          <w:rFonts w:ascii="Times New Roman" w:eastAsia="Calibri" w:hAnsi="Times New Roman" w:cs="Times New Roman"/>
          <w:sz w:val="24"/>
          <w:szCs w:val="24"/>
        </w:rPr>
        <w:t>to achieve</w:t>
      </w:r>
      <w:r w:rsidRPr="004664FE">
        <w:rPr>
          <w:rFonts w:ascii="Times New Roman" w:hAnsi="Times New Roman" w:cs="Times New Roman"/>
          <w:sz w:val="24"/>
          <w:szCs w:val="24"/>
        </w:rPr>
        <w:t xml:space="preserve"> the intended goal</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it is vital to introduce major changes, such as the development of environmental innovations. Likewise, the European Union framework program for research and innovation has explicitly set environmental innovations as a key pillar of its strategy (European Commission, 2019). </w:t>
      </w:r>
      <w:r w:rsidRPr="004664FE">
        <w:rPr>
          <w:rFonts w:ascii="Times New Roman" w:eastAsia="Calibri" w:hAnsi="Times New Roman" w:cs="Times New Roman"/>
          <w:sz w:val="24"/>
          <w:szCs w:val="24"/>
        </w:rPr>
        <w:t>Additionally</w:t>
      </w:r>
      <w:r w:rsidRPr="004664FE">
        <w:rPr>
          <w:rFonts w:ascii="Times New Roman" w:hAnsi="Times New Roman" w:cs="Times New Roman"/>
          <w:sz w:val="24"/>
          <w:szCs w:val="24"/>
        </w:rPr>
        <w:t xml:space="preserve">, traditionally polluting countries </w:t>
      </w:r>
      <w:r w:rsidR="001C5379" w:rsidRPr="004664FE">
        <w:rPr>
          <w:rFonts w:ascii="Times New Roman" w:eastAsia="Calibri" w:hAnsi="Times New Roman" w:cs="Times New Roman"/>
          <w:sz w:val="24"/>
          <w:szCs w:val="24"/>
        </w:rPr>
        <w:t>are incentivizing green innovations;</w:t>
      </w:r>
      <w:r w:rsidRPr="004664FE">
        <w:rPr>
          <w:rFonts w:ascii="Times New Roman" w:hAnsi="Times New Roman" w:cs="Times New Roman"/>
          <w:sz w:val="24"/>
          <w:szCs w:val="24"/>
        </w:rPr>
        <w:t xml:space="preserve"> for example, China is offering R&amp;D subsidies for green innovations to achieve its goal of a 40%-50% reduction of CO</w:t>
      </w:r>
      <w:r w:rsidRPr="004664FE">
        <w:rPr>
          <w:rFonts w:ascii="Times New Roman" w:hAnsi="Times New Roman" w:cs="Times New Roman"/>
          <w:sz w:val="24"/>
          <w:szCs w:val="24"/>
          <w:vertAlign w:val="subscript"/>
        </w:rPr>
        <w:t>2</w:t>
      </w:r>
      <w:r w:rsidRPr="004664FE">
        <w:rPr>
          <w:rFonts w:ascii="Times New Roman" w:hAnsi="Times New Roman" w:cs="Times New Roman"/>
          <w:sz w:val="24"/>
          <w:szCs w:val="24"/>
        </w:rPr>
        <w:t xml:space="preserve"> levels by 2020 compared to those in 2005 (Bai, et al., 2019). In this regard, such institutional support </w:t>
      </w:r>
      <w:r w:rsidRPr="004664FE">
        <w:rPr>
          <w:rFonts w:ascii="Times New Roman" w:eastAsia="Calibri" w:hAnsi="Times New Roman" w:cs="Times New Roman"/>
          <w:sz w:val="24"/>
          <w:szCs w:val="24"/>
        </w:rPr>
        <w:t>for</w:t>
      </w:r>
      <w:r w:rsidRPr="004664FE">
        <w:rPr>
          <w:rFonts w:ascii="Times New Roman" w:hAnsi="Times New Roman" w:cs="Times New Roman"/>
          <w:sz w:val="24"/>
          <w:szCs w:val="24"/>
        </w:rPr>
        <w:t xml:space="preserve"> environmental innovations enhances their competitive advantages, hence increasing the profitability of such technologies. Just for illustration, Bai et al.’s (2019) longitudinal analysis of Chinese energy-intensive firms showed that current policy support </w:t>
      </w:r>
      <w:r w:rsidRPr="004664FE">
        <w:rPr>
          <w:rFonts w:ascii="Times New Roman" w:eastAsia="Calibri" w:hAnsi="Times New Roman" w:cs="Times New Roman"/>
          <w:sz w:val="24"/>
          <w:szCs w:val="24"/>
        </w:rPr>
        <w:t>for</w:t>
      </w:r>
      <w:r w:rsidRPr="004664FE">
        <w:rPr>
          <w:rFonts w:ascii="Times New Roman" w:hAnsi="Times New Roman" w:cs="Times New Roman"/>
          <w:sz w:val="24"/>
          <w:szCs w:val="24"/>
        </w:rPr>
        <w:t xml:space="preserve"> environmental innovations clearly reduced these firms’ development costs and enhanced their competitive advantages, </w:t>
      </w:r>
      <w:r w:rsidRPr="004664FE">
        <w:rPr>
          <w:rFonts w:ascii="Times New Roman" w:eastAsia="Calibri" w:hAnsi="Times New Roman" w:cs="Times New Roman"/>
          <w:sz w:val="24"/>
          <w:szCs w:val="24"/>
        </w:rPr>
        <w:t>which</w:t>
      </w:r>
      <w:r w:rsidRPr="004664FE">
        <w:rPr>
          <w:rFonts w:ascii="Times New Roman" w:hAnsi="Times New Roman" w:cs="Times New Roman"/>
          <w:sz w:val="24"/>
          <w:szCs w:val="24"/>
        </w:rPr>
        <w:t xml:space="preserve"> resulted in significant increases </w:t>
      </w:r>
      <w:r w:rsidRPr="004664FE">
        <w:rPr>
          <w:rFonts w:ascii="Times New Roman" w:eastAsia="Calibri" w:hAnsi="Times New Roman" w:cs="Times New Roman"/>
          <w:sz w:val="24"/>
          <w:szCs w:val="24"/>
        </w:rPr>
        <w:t>in</w:t>
      </w:r>
      <w:r w:rsidRPr="004664FE">
        <w:rPr>
          <w:rFonts w:ascii="Times New Roman" w:hAnsi="Times New Roman" w:cs="Times New Roman"/>
          <w:sz w:val="24"/>
          <w:szCs w:val="24"/>
        </w:rPr>
        <w:t xml:space="preserve"> firm performance. More specifically, they stated that ““[g]overnment R&amp;D subsidies can reduce the costs and stimulate green innovation tendency” (Bai et al., 2019: 825).</w:t>
      </w:r>
    </w:p>
    <w:p w14:paraId="6B08F1F9" w14:textId="6E8DDA79" w:rsidR="00CD256D" w:rsidRPr="004664FE" w:rsidRDefault="008968D6" w:rsidP="005D07A9">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In addition, market forces spur the development of environmental innovations. For example, Henriques &amp; Sadorsky’s (1996) study on large corporations showed that consumers are willing to pay a higher price for environmentally friendly products. This idea was corroborated by Manget, Roche &amp; Münnich’s (2009) study, </w:t>
      </w:r>
      <w:r w:rsidRPr="004664FE">
        <w:rPr>
          <w:rFonts w:ascii="Times New Roman" w:eastAsia="Calibri" w:hAnsi="Times New Roman" w:cs="Times New Roman"/>
          <w:sz w:val="24"/>
          <w:szCs w:val="24"/>
        </w:rPr>
        <w:t>which</w:t>
      </w:r>
      <w:r w:rsidRPr="004664FE">
        <w:rPr>
          <w:rFonts w:ascii="Times New Roman" w:hAnsi="Times New Roman" w:cs="Times New Roman"/>
          <w:sz w:val="24"/>
          <w:szCs w:val="24"/>
        </w:rPr>
        <w:t xml:space="preserve"> found that consumers in Northern America (Canada &amp; the U.S.), Japan and European countries (France, Germany, Italy, Spain, and the U.K.) were willing to pay more for greener products. In other cases, companies can create a market for sustainable innovations where there is not such a market. Aragon-Correa’s (1998) seminal work on sustainability clearly shows that proactive environmental companies can generate a new market for more environmentally friendly products. In the case </w:t>
      </w:r>
      <w:r w:rsidRPr="004664FE">
        <w:rPr>
          <w:rFonts w:ascii="Times New Roman" w:hAnsi="Times New Roman" w:cs="Times New Roman"/>
          <w:sz w:val="24"/>
          <w:szCs w:val="24"/>
        </w:rPr>
        <w:lastRenderedPageBreak/>
        <w:t xml:space="preserve">of environmental innovations, Toyota’s decision </w:t>
      </w:r>
      <w:r w:rsidRPr="004664FE">
        <w:rPr>
          <w:rFonts w:ascii="Times New Roman" w:eastAsia="Calibri" w:hAnsi="Times New Roman" w:cs="Times New Roman"/>
          <w:sz w:val="24"/>
          <w:szCs w:val="24"/>
        </w:rPr>
        <w:t>to create a</w:t>
      </w:r>
      <w:r w:rsidRPr="004664FE">
        <w:rPr>
          <w:rFonts w:ascii="Times New Roman" w:hAnsi="Times New Roman" w:cs="Times New Roman"/>
          <w:sz w:val="24"/>
          <w:szCs w:val="24"/>
        </w:rPr>
        <w:t xml:space="preserve"> hybrid vehicle (an innovation that could be considered environmental when compared to traditional combustion engine cars) opened a new market that positioned it as a global leader, which continues today (Toyota, 2017).</w:t>
      </w:r>
    </w:p>
    <w:p w14:paraId="09438663" w14:textId="69256BA6" w:rsidR="00F54FB2" w:rsidRPr="004664FE" w:rsidRDefault="00806B2E" w:rsidP="00BB42CA">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However, the advantages of environmental innovations are not unlimited, since “excessive” development of these innovations may be detrimental to the company’s profitability. This turning point is due to several factors such as the complexity, </w:t>
      </w:r>
      <w:proofErr w:type="gramStart"/>
      <w:r w:rsidRPr="004664FE">
        <w:rPr>
          <w:rFonts w:ascii="Times New Roman" w:hAnsi="Times New Roman" w:cs="Times New Roman"/>
          <w:sz w:val="24"/>
          <w:szCs w:val="24"/>
        </w:rPr>
        <w:t>uncertainty</w:t>
      </w:r>
      <w:proofErr w:type="gramEnd"/>
      <w:r w:rsidRPr="004664FE">
        <w:rPr>
          <w:rFonts w:ascii="Times New Roman" w:hAnsi="Times New Roman" w:cs="Times New Roman"/>
          <w:sz w:val="24"/>
          <w:szCs w:val="24"/>
        </w:rPr>
        <w:t xml:space="preserve"> and radicalness</w:t>
      </w:r>
      <w:r w:rsidR="008968D6" w:rsidRPr="004664FE">
        <w:rPr>
          <w:rFonts w:ascii="Times New Roman" w:hAnsi="Times New Roman" w:cs="Times New Roman"/>
          <w:sz w:val="24"/>
          <w:szCs w:val="24"/>
        </w:rPr>
        <w:t xml:space="preserve"> of this type of innovation (Cainelli, De Marchi, &amp; Grandinetti, 2015; Leyva-de la Hiz, Ferron-Vilchez, &amp; Aragon-Correa, 2019). </w:t>
      </w:r>
      <w:bookmarkStart w:id="2" w:name="_Hlk65660719"/>
      <w:bookmarkStart w:id="3" w:name="_Hlk64565678"/>
      <w:r w:rsidR="00EC21CE" w:rsidRPr="004664FE">
        <w:rPr>
          <w:rFonts w:ascii="Times New Roman" w:hAnsi="Times New Roman" w:cs="Times New Roman"/>
          <w:sz w:val="24"/>
          <w:szCs w:val="24"/>
        </w:rPr>
        <w:t xml:space="preserve">Environmental innovations tend to be more complex than non-environmental innovations, as they require managing interrelations between legal requirements, environmental technologies, </w:t>
      </w:r>
      <w:proofErr w:type="gramStart"/>
      <w:r w:rsidR="00EC21CE" w:rsidRPr="004664FE">
        <w:rPr>
          <w:rFonts w:ascii="Times New Roman" w:hAnsi="Times New Roman" w:cs="Times New Roman"/>
          <w:sz w:val="24"/>
          <w:szCs w:val="24"/>
        </w:rPr>
        <w:t>manufacturing</w:t>
      </w:r>
      <w:proofErr w:type="gramEnd"/>
      <w:r w:rsidR="00EC21CE" w:rsidRPr="004664FE">
        <w:rPr>
          <w:rFonts w:ascii="Times New Roman" w:hAnsi="Times New Roman" w:cs="Times New Roman"/>
          <w:sz w:val="24"/>
          <w:szCs w:val="24"/>
        </w:rPr>
        <w:t xml:space="preserve"> and administrative processes, etc. (del Brío &amp; Junquera, 2003). Further, this multidimensionality of environmental innovations implies that skills in distant domains and knowledge exchanges between different sources tend to be more predominant for environmental innovations than for other technological innovations (Ghisetti &amp; Rennings, 2014). </w:t>
      </w:r>
      <w:r w:rsidR="00BA2740" w:rsidRPr="004664FE">
        <w:rPr>
          <w:rFonts w:ascii="Times New Roman" w:hAnsi="Times New Roman" w:cs="Times New Roman"/>
          <w:sz w:val="24"/>
          <w:szCs w:val="24"/>
        </w:rPr>
        <w:t xml:space="preserve">Environmental innovations tend to be more radical than non-environmental ones, as continuously reducing environmental burdens requires going beyond well-known and already exploited domains. In other words, environmental innovations need to explore new domains since matching current pollution levels, for example, is no longer an environmental innovation. Consistent with these ideas, </w:t>
      </w:r>
      <w:bookmarkStart w:id="4" w:name="_Hlk71971173"/>
      <w:r w:rsidR="003161DC" w:rsidRPr="004664FE">
        <w:rPr>
          <w:rFonts w:ascii="Times New Roman" w:hAnsi="Times New Roman" w:cs="Times New Roman"/>
          <w:color w:val="131413"/>
          <w:sz w:val="24"/>
          <w:szCs w:val="24"/>
        </w:rPr>
        <w:t>Barbieri, Marzucchi and Rizzo (2020)</w:t>
      </w:r>
      <w:r w:rsidR="00054181" w:rsidRPr="004664FE">
        <w:rPr>
          <w:rFonts w:ascii="Times New Roman" w:hAnsi="Times New Roman" w:cs="Times New Roman"/>
          <w:color w:val="131413"/>
          <w:sz w:val="24"/>
          <w:szCs w:val="24"/>
        </w:rPr>
        <w:t>,</w:t>
      </w:r>
      <w:bookmarkEnd w:id="4"/>
      <w:r w:rsidR="00054181" w:rsidRPr="004664FE">
        <w:rPr>
          <w:rFonts w:ascii="Times New Roman" w:hAnsi="Times New Roman" w:cs="Times New Roman"/>
          <w:color w:val="131413"/>
          <w:sz w:val="24"/>
          <w:szCs w:val="24"/>
        </w:rPr>
        <w:t xml:space="preserve"> </w:t>
      </w:r>
      <w:r w:rsidR="00EB0F72" w:rsidRPr="004664FE">
        <w:rPr>
          <w:rFonts w:ascii="Times New Roman" w:hAnsi="Times New Roman" w:cs="Times New Roman"/>
          <w:color w:val="131413"/>
          <w:sz w:val="24"/>
          <w:szCs w:val="24"/>
        </w:rPr>
        <w:t xml:space="preserve">in a longitudinal study based on </w:t>
      </w:r>
      <w:r w:rsidR="003161DC" w:rsidRPr="004664FE">
        <w:rPr>
          <w:rFonts w:ascii="Times New Roman" w:hAnsi="Times New Roman" w:cs="Times New Roman"/>
          <w:sz w:val="24"/>
          <w:szCs w:val="24"/>
        </w:rPr>
        <w:t>a large sample of patents</w:t>
      </w:r>
      <w:r w:rsidR="00054181" w:rsidRPr="004664FE">
        <w:rPr>
          <w:rFonts w:ascii="Times New Roman" w:hAnsi="Times New Roman" w:cs="Times New Roman"/>
          <w:sz w:val="24"/>
          <w:szCs w:val="24"/>
        </w:rPr>
        <w:t>,</w:t>
      </w:r>
      <w:r w:rsidR="003161DC" w:rsidRPr="004664FE">
        <w:rPr>
          <w:rFonts w:ascii="Times New Roman" w:hAnsi="Times New Roman" w:cs="Times New Roman"/>
          <w:sz w:val="24"/>
          <w:szCs w:val="24"/>
        </w:rPr>
        <w:t xml:space="preserve"> showed that green technologies are more novel and radical than non-green technologies, as they usually represent a technological frontier </w:t>
      </w:r>
      <w:r w:rsidR="00054181" w:rsidRPr="004664FE">
        <w:rPr>
          <w:rFonts w:ascii="Times New Roman" w:hAnsi="Times New Roman" w:cs="Times New Roman"/>
          <w:sz w:val="24"/>
          <w:szCs w:val="24"/>
        </w:rPr>
        <w:t>and</w:t>
      </w:r>
      <w:r w:rsidR="003161DC" w:rsidRPr="004664FE">
        <w:rPr>
          <w:rFonts w:ascii="Times New Roman" w:hAnsi="Times New Roman" w:cs="Times New Roman"/>
          <w:sz w:val="24"/>
          <w:szCs w:val="24"/>
        </w:rPr>
        <w:t xml:space="preserve"> imply significant changes given the lack of technological trajectories. Not surprisingly, green innovations combine more diverse and novel technological inputs and components and rely on more varied sources than their non-green counterparts.</w:t>
      </w:r>
      <w:r w:rsidR="00BA2740" w:rsidRPr="004664FE">
        <w:rPr>
          <w:rFonts w:ascii="Times New Roman" w:hAnsi="Times New Roman" w:cs="Times New Roman"/>
          <w:i/>
          <w:iCs/>
          <w:sz w:val="24"/>
          <w:szCs w:val="24"/>
        </w:rPr>
        <w:t xml:space="preserve"> </w:t>
      </w:r>
    </w:p>
    <w:p w14:paraId="1CEFCFBF" w14:textId="5FEA7E9B" w:rsidR="004E2098" w:rsidRPr="004664FE" w:rsidRDefault="00EC21CE" w:rsidP="00D8187F">
      <w:pPr>
        <w:spacing w:after="0" w:line="480" w:lineRule="auto"/>
        <w:ind w:firstLine="708"/>
        <w:jc w:val="both"/>
        <w:rPr>
          <w:rFonts w:ascii="Times New Roman" w:hAnsi="Times New Roman"/>
          <w:color w:val="323130"/>
          <w:sz w:val="24"/>
          <w:shd w:val="clear" w:color="auto" w:fill="FFFFFF"/>
        </w:rPr>
      </w:pPr>
      <w:r w:rsidRPr="004664FE">
        <w:rPr>
          <w:rFonts w:ascii="Times New Roman" w:hAnsi="Times New Roman" w:cs="Times New Roman"/>
          <w:sz w:val="24"/>
          <w:szCs w:val="24"/>
        </w:rPr>
        <w:t xml:space="preserve">In this sense, lower levels of environmental innovation development (e.g., pollution reduction) may not constitute a major effort by the organization because the associated skills </w:t>
      </w:r>
      <w:r w:rsidRPr="004664FE">
        <w:rPr>
          <w:rFonts w:ascii="Times New Roman" w:hAnsi="Times New Roman" w:cs="Times New Roman"/>
          <w:sz w:val="24"/>
          <w:szCs w:val="24"/>
        </w:rPr>
        <w:lastRenderedPageBreak/>
        <w:t>and areas are relatively close and easy to manage. However, as an environmental innovation develops further (e.g., raw material minimization and energy optimization), so it does its complexity and interconnectivity with different areas, hence increasing coordination costs to the point that they exceed the economic benefits that the environmental innovation confers.</w:t>
      </w:r>
      <w:r w:rsidR="004B3F48" w:rsidRPr="004664FE">
        <w:rPr>
          <w:rFonts w:ascii="Times New Roman" w:hAnsi="Times New Roman"/>
          <w:color w:val="323130"/>
          <w:sz w:val="24"/>
          <w:shd w:val="clear" w:color="auto" w:fill="FFFFFF"/>
        </w:rPr>
        <w:t xml:space="preserve"> </w:t>
      </w:r>
      <w:r w:rsidRPr="004664FE">
        <w:rPr>
          <w:rFonts w:ascii="Times New Roman" w:hAnsi="Times New Roman" w:cs="Times New Roman"/>
          <w:sz w:val="24"/>
          <w:szCs w:val="24"/>
        </w:rPr>
        <w:t>In this realm, environmental innovations require exploring new technological frontiers that are outside of well-known traditional technologies. This explorative nature, while promising, entails significant risks for the company’s profitability, as exploration involves costs that do not guarantee success (</w:t>
      </w:r>
      <w:proofErr w:type="gramStart"/>
      <w:r w:rsidRPr="004664FE">
        <w:rPr>
          <w:rFonts w:ascii="Times New Roman" w:hAnsi="Times New Roman" w:cs="Times New Roman"/>
          <w:sz w:val="24"/>
          <w:szCs w:val="24"/>
        </w:rPr>
        <w:t>March,</w:t>
      </w:r>
      <w:proofErr w:type="gramEnd"/>
      <w:r w:rsidRPr="004664FE">
        <w:rPr>
          <w:rFonts w:ascii="Times New Roman" w:hAnsi="Times New Roman" w:cs="Times New Roman"/>
          <w:sz w:val="24"/>
          <w:szCs w:val="24"/>
        </w:rPr>
        <w:t xml:space="preserve"> 1991). Again, relatively low levels of development require minor costs of exploration; hence, the benefits may outweigh such costs. However, as environmental innovations become more developed, it becomes necessary to increase efforts toward discovering new knowledge such that the costs may exceed the benefits. This explorative cost has to be added to the increasing coordination cost of combining different areas, departments, etc</w:t>
      </w:r>
      <w:bookmarkEnd w:id="2"/>
      <w:r w:rsidRPr="004664FE">
        <w:rPr>
          <w:rFonts w:ascii="Times New Roman" w:hAnsi="Times New Roman" w:cs="Times New Roman"/>
          <w:sz w:val="24"/>
          <w:szCs w:val="24"/>
        </w:rPr>
        <w:t xml:space="preserve">. </w:t>
      </w:r>
      <w:bookmarkEnd w:id="3"/>
      <w:r w:rsidR="000731C3" w:rsidRPr="004664FE">
        <w:rPr>
          <w:rFonts w:ascii="Times New Roman" w:hAnsi="Times New Roman" w:cs="Times New Roman"/>
          <w:sz w:val="24"/>
          <w:szCs w:val="24"/>
        </w:rPr>
        <w:t xml:space="preserve">For this reason, some scholars do not recommend devoting the totality of a firm’s resources to exploring new technologies but suggest combining them with more secure, better-known technologies (Derbyshire, 2014; Enkel, Heil, Hengstler, &amp; Wirth, 2017). </w:t>
      </w:r>
      <w:r w:rsidR="00BF5E61" w:rsidRPr="004664FE">
        <w:rPr>
          <w:rFonts w:ascii="Times New Roman" w:hAnsi="Times New Roman" w:cs="Times New Roman"/>
          <w:color w:val="323130"/>
          <w:sz w:val="24"/>
          <w:szCs w:val="24"/>
          <w:shd w:val="clear" w:color="auto" w:fill="FFFFFF"/>
        </w:rPr>
        <w:t xml:space="preserve">Further, even if firms focus on a single or a few areas, </w:t>
      </w:r>
      <w:r w:rsidR="00054181" w:rsidRPr="004664FE">
        <w:rPr>
          <w:rFonts w:ascii="Times New Roman" w:hAnsi="Times New Roman" w:cs="Times New Roman"/>
          <w:color w:val="323130"/>
          <w:sz w:val="24"/>
          <w:szCs w:val="24"/>
          <w:shd w:val="clear" w:color="auto" w:fill="FFFFFF"/>
        </w:rPr>
        <w:t>where</w:t>
      </w:r>
      <w:r w:rsidR="00BF5E61" w:rsidRPr="004664FE">
        <w:rPr>
          <w:rFonts w:ascii="Times New Roman" w:hAnsi="Times New Roman" w:cs="Times New Roman"/>
          <w:color w:val="323130"/>
          <w:sz w:val="24"/>
          <w:szCs w:val="24"/>
          <w:shd w:val="clear" w:color="auto" w:fill="FFFFFF"/>
        </w:rPr>
        <w:t xml:space="preserve"> coordination costs are lower and </w:t>
      </w:r>
      <w:r w:rsidR="00054181" w:rsidRPr="004664FE">
        <w:rPr>
          <w:rFonts w:ascii="Times New Roman" w:hAnsi="Times New Roman" w:cs="Times New Roman"/>
          <w:color w:val="323130"/>
          <w:sz w:val="24"/>
          <w:szCs w:val="24"/>
          <w:shd w:val="clear" w:color="auto" w:fill="FFFFFF"/>
        </w:rPr>
        <w:t>their</w:t>
      </w:r>
      <w:r w:rsidR="00BF5E61" w:rsidRPr="004664FE">
        <w:rPr>
          <w:rFonts w:ascii="Times New Roman" w:hAnsi="Times New Roman" w:cs="Times New Roman"/>
          <w:color w:val="323130"/>
          <w:sz w:val="24"/>
          <w:szCs w:val="24"/>
          <w:shd w:val="clear" w:color="auto" w:fill="FFFFFF"/>
        </w:rPr>
        <w:t xml:space="preserve"> prior experience in the focused area might help reduce the</w:t>
      </w:r>
      <w:r w:rsidR="00054181" w:rsidRPr="004664FE">
        <w:rPr>
          <w:rFonts w:ascii="Times New Roman" w:hAnsi="Times New Roman" w:cs="Times New Roman"/>
          <w:color w:val="323130"/>
          <w:sz w:val="24"/>
          <w:szCs w:val="24"/>
          <w:shd w:val="clear" w:color="auto" w:fill="FFFFFF"/>
        </w:rPr>
        <w:t>ir</w:t>
      </w:r>
      <w:r w:rsidR="00BF5E61" w:rsidRPr="004664FE">
        <w:rPr>
          <w:rFonts w:ascii="Times New Roman" w:hAnsi="Times New Roman" w:cs="Times New Roman"/>
          <w:color w:val="323130"/>
          <w:sz w:val="24"/>
          <w:szCs w:val="24"/>
          <w:shd w:val="clear" w:color="auto" w:fill="FFFFFF"/>
        </w:rPr>
        <w:t xml:space="preserve"> costs, firms cannot exploit well-known areas sine die and expect continuous </w:t>
      </w:r>
      <w:r w:rsidR="00054181" w:rsidRPr="004664FE">
        <w:rPr>
          <w:rFonts w:ascii="Times New Roman" w:hAnsi="Times New Roman" w:cs="Times New Roman"/>
          <w:color w:val="323130"/>
          <w:sz w:val="24"/>
          <w:szCs w:val="24"/>
          <w:shd w:val="clear" w:color="auto" w:fill="FFFFFF"/>
        </w:rPr>
        <w:t>environmental progress</w:t>
      </w:r>
      <w:r w:rsidR="00BF5E61" w:rsidRPr="004664FE">
        <w:rPr>
          <w:rFonts w:ascii="Times New Roman" w:hAnsi="Times New Roman" w:cs="Times New Roman"/>
          <w:color w:val="323130"/>
          <w:sz w:val="24"/>
          <w:szCs w:val="24"/>
          <w:shd w:val="clear" w:color="auto" w:fill="FFFFFF"/>
        </w:rPr>
        <w:t xml:space="preserve">. At some point, environmental improvement will reach a maximum, </w:t>
      </w:r>
      <w:r w:rsidR="00054181" w:rsidRPr="004664FE">
        <w:rPr>
          <w:rFonts w:ascii="Times New Roman" w:hAnsi="Times New Roman" w:cs="Times New Roman"/>
          <w:color w:val="323130"/>
          <w:sz w:val="24"/>
          <w:szCs w:val="24"/>
          <w:shd w:val="clear" w:color="auto" w:fill="FFFFFF"/>
        </w:rPr>
        <w:t>and</w:t>
      </w:r>
      <w:r w:rsidR="00BF5E61" w:rsidRPr="004664FE">
        <w:rPr>
          <w:rFonts w:ascii="Times New Roman" w:hAnsi="Times New Roman" w:cs="Times New Roman"/>
          <w:color w:val="323130"/>
          <w:sz w:val="24"/>
          <w:szCs w:val="24"/>
          <w:shd w:val="clear" w:color="auto" w:fill="FFFFFF"/>
        </w:rPr>
        <w:t xml:space="preserve"> going beyond that level will require radical changes. This intrinsic radicalness of environmental innovations is a factor that can </w:t>
      </w:r>
      <w:r w:rsidR="00054181" w:rsidRPr="004664FE">
        <w:rPr>
          <w:rFonts w:ascii="Times New Roman" w:hAnsi="Times New Roman" w:cs="Times New Roman"/>
          <w:color w:val="323130"/>
          <w:sz w:val="24"/>
          <w:szCs w:val="24"/>
          <w:shd w:val="clear" w:color="auto" w:fill="FFFFFF"/>
        </w:rPr>
        <w:t>increase</w:t>
      </w:r>
      <w:r w:rsidR="00BF5E61" w:rsidRPr="004664FE">
        <w:rPr>
          <w:rFonts w:ascii="Times New Roman" w:hAnsi="Times New Roman" w:cs="Times New Roman"/>
          <w:color w:val="323130"/>
          <w:sz w:val="24"/>
          <w:szCs w:val="24"/>
          <w:shd w:val="clear" w:color="auto" w:fill="FFFFFF"/>
        </w:rPr>
        <w:t xml:space="preserve"> the uncertainties and risks related to </w:t>
      </w:r>
      <w:r w:rsidR="00054181" w:rsidRPr="004664FE">
        <w:rPr>
          <w:rFonts w:ascii="Times New Roman" w:hAnsi="Times New Roman" w:cs="Times New Roman"/>
          <w:color w:val="323130"/>
          <w:sz w:val="24"/>
          <w:szCs w:val="24"/>
          <w:shd w:val="clear" w:color="auto" w:fill="FFFFFF"/>
        </w:rPr>
        <w:t>such</w:t>
      </w:r>
      <w:r w:rsidR="00A23289" w:rsidRPr="004664FE">
        <w:rPr>
          <w:rFonts w:ascii="Times New Roman" w:hAnsi="Times New Roman" w:cs="Times New Roman"/>
          <w:color w:val="323130"/>
          <w:sz w:val="24"/>
          <w:szCs w:val="24"/>
          <w:shd w:val="clear" w:color="auto" w:fill="FFFFFF"/>
        </w:rPr>
        <w:t xml:space="preserve"> innovations</w:t>
      </w:r>
      <w:r w:rsidR="00BF5E61" w:rsidRPr="004664FE">
        <w:rPr>
          <w:rFonts w:ascii="Times New Roman" w:hAnsi="Times New Roman" w:cs="Times New Roman"/>
          <w:color w:val="323130"/>
          <w:sz w:val="24"/>
          <w:szCs w:val="24"/>
          <w:shd w:val="clear" w:color="auto" w:fill="FFFFFF"/>
        </w:rPr>
        <w:t xml:space="preserve"> (</w:t>
      </w:r>
      <w:bookmarkStart w:id="5" w:name="_Hlk71971243"/>
      <w:r w:rsidR="00D92F5A" w:rsidRPr="004664FE">
        <w:rPr>
          <w:rFonts w:ascii="Times New Roman" w:hAnsi="Times New Roman" w:cs="Times New Roman"/>
          <w:color w:val="222222"/>
          <w:sz w:val="24"/>
          <w:szCs w:val="24"/>
          <w:shd w:val="clear" w:color="auto" w:fill="FFFFFF"/>
        </w:rPr>
        <w:t>Hansen, Søndergard &amp; Meredith,</w:t>
      </w:r>
      <w:r w:rsidR="00BF5E61" w:rsidRPr="004664FE">
        <w:rPr>
          <w:rFonts w:ascii="Times New Roman" w:hAnsi="Times New Roman" w:cs="Times New Roman"/>
          <w:color w:val="323130"/>
          <w:sz w:val="24"/>
          <w:szCs w:val="24"/>
          <w:shd w:val="clear" w:color="auto" w:fill="FFFFFF"/>
        </w:rPr>
        <w:t xml:space="preserve"> 2002</w:t>
      </w:r>
      <w:bookmarkEnd w:id="5"/>
      <w:r w:rsidR="00BF5E61" w:rsidRPr="004664FE">
        <w:rPr>
          <w:rFonts w:ascii="Times New Roman" w:hAnsi="Times New Roman" w:cs="Times New Roman"/>
          <w:color w:val="323130"/>
          <w:sz w:val="24"/>
          <w:szCs w:val="24"/>
          <w:shd w:val="clear" w:color="auto" w:fill="FFFFFF"/>
        </w:rPr>
        <w:t xml:space="preserve">). As </w:t>
      </w:r>
      <w:bookmarkStart w:id="6" w:name="_Hlk71971287"/>
      <w:r w:rsidR="00041216" w:rsidRPr="004664FE">
        <w:rPr>
          <w:rFonts w:ascii="Times New Roman" w:hAnsi="Times New Roman" w:cs="Times New Roman"/>
          <w:color w:val="222222"/>
          <w:sz w:val="24"/>
          <w:szCs w:val="24"/>
          <w:shd w:val="clear" w:color="auto" w:fill="FFFFFF"/>
        </w:rPr>
        <w:t xml:space="preserve">Cecere, Corrocher, Gossart &amp; Ozman </w:t>
      </w:r>
      <w:r w:rsidR="00BF5E61" w:rsidRPr="004664FE">
        <w:rPr>
          <w:rFonts w:ascii="Times New Roman" w:hAnsi="Times New Roman" w:cs="Times New Roman"/>
          <w:color w:val="323130"/>
          <w:sz w:val="24"/>
          <w:szCs w:val="24"/>
          <w:shd w:val="clear" w:color="auto" w:fill="FFFFFF"/>
        </w:rPr>
        <w:t xml:space="preserve">(2014) </w:t>
      </w:r>
      <w:bookmarkEnd w:id="6"/>
      <w:r w:rsidR="00BF5E61" w:rsidRPr="004664FE">
        <w:rPr>
          <w:rFonts w:ascii="Times New Roman" w:hAnsi="Times New Roman" w:cs="Times New Roman"/>
          <w:color w:val="323130"/>
          <w:sz w:val="24"/>
          <w:szCs w:val="24"/>
          <w:shd w:val="clear" w:color="auto" w:fill="FFFFFF"/>
        </w:rPr>
        <w:t xml:space="preserve">point out, in an eco-innovative context, as firms face radical technological changes, </w:t>
      </w:r>
      <w:r w:rsidR="00BF5E61" w:rsidRPr="004664FE">
        <w:rPr>
          <w:rFonts w:ascii="Times New Roman" w:hAnsi="Times New Roman" w:cs="Times New Roman"/>
          <w:color w:val="131413"/>
          <w:sz w:val="24"/>
          <w:szCs w:val="24"/>
        </w:rPr>
        <w:t>they may struggle to remain competitive in the market because they have to adapt their original capabilities and competencies to the new context, which may not be certain.</w:t>
      </w:r>
    </w:p>
    <w:p w14:paraId="2205473B" w14:textId="785FCA0F" w:rsidR="00A807A2" w:rsidRPr="004664FE" w:rsidRDefault="008968D6" w:rsidP="006E41BB">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lastRenderedPageBreak/>
        <w:t xml:space="preserve">Finally, one of the advantages of environmental innovations, policy support (Aragon-Correa et al., 2020), should not be taken for granted. In this sense, environmental innovations depend more on external policies than nonenvironmental technologies do (Bai et al., 2019; Leyva-de la Hiz, 2019; Walsh, 2012). In this regard, a number of scholars state that one of the key successes of the development of environmental innovations such as clean electricity was the introduction of feed-in tariffs, i.e., a fixed price for electricity guaranteed by the government (Jaffe, Newell, &amp; Stavins, 2002; REN21, 2011), which is a policy that has been pursued by a large number of countries (REN21, 2011). However, despite this global tendency toward stronger regulations that </w:t>
      </w:r>
      <w:r w:rsidRPr="004664FE">
        <w:rPr>
          <w:rFonts w:ascii="Times New Roman" w:eastAsia="Calibri" w:hAnsi="Times New Roman" w:cs="Times New Roman"/>
          <w:sz w:val="24"/>
          <w:szCs w:val="24"/>
        </w:rPr>
        <w:t>favor</w:t>
      </w:r>
      <w:r w:rsidRPr="004664FE">
        <w:rPr>
          <w:rFonts w:ascii="Times New Roman" w:hAnsi="Times New Roman" w:cs="Times New Roman"/>
          <w:sz w:val="24"/>
          <w:szCs w:val="24"/>
        </w:rPr>
        <w:t xml:space="preserve"> the development of environmental innovations, in some cases, policies are not very munificent, a good example of which the current U.S. downturn in environmental policy (Bloomberg, 2019). Recent U.S. policies support a reduction in the budget allocated to the U.S. Clean Energy Research division, a division that makes efforts to improve the efficiency of wind power and electric cars, among other environmental technologies, from its initial $2.3 billion budget to $700 million (Bloomberg, 2019).</w:t>
      </w:r>
    </w:p>
    <w:p w14:paraId="7637914B" w14:textId="45BE0DA5" w:rsidR="00A807A2" w:rsidRPr="004664FE" w:rsidRDefault="008968D6" w:rsidP="008A3C80">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Given these particularities of environmental innovations, we consider that the relationship between such innovations and performance is much more complex than a linear positive or negative association. In this regard, we argue that while environmental innovations pose many advantages, they also encompass some disadvantages that may </w:t>
      </w:r>
      <w:r w:rsidR="00A23289" w:rsidRPr="004664FE">
        <w:rPr>
          <w:rFonts w:ascii="Times New Roman" w:hAnsi="Times New Roman" w:cs="Times New Roman"/>
          <w:sz w:val="24"/>
          <w:szCs w:val="24"/>
        </w:rPr>
        <w:t>encourage</w:t>
      </w:r>
      <w:r w:rsidRPr="004664FE">
        <w:rPr>
          <w:rFonts w:ascii="Times New Roman" w:hAnsi="Times New Roman" w:cs="Times New Roman"/>
          <w:sz w:val="24"/>
          <w:szCs w:val="24"/>
        </w:rPr>
        <w:t xml:space="preserve"> firms to avoid full commitment to such innovations; thus, we propose an inverted U relationship between environmental innovations and firm performance. We argue that the introduction of environmental innovations can bring considerable benefits for firms, such as first-mover advantages, increased firm reputation and new market opportunities, inducing higher performance results. However, as environmental innovations become more developed, so it does their complexity, the need to coordinate efforts between different departments, and the </w:t>
      </w:r>
      <w:r w:rsidRPr="004664FE">
        <w:rPr>
          <w:rFonts w:ascii="Times New Roman" w:hAnsi="Times New Roman" w:cs="Times New Roman"/>
          <w:sz w:val="24"/>
          <w:szCs w:val="24"/>
        </w:rPr>
        <w:lastRenderedPageBreak/>
        <w:t>need to explore uncertain technological areas; hence, the cost of environmental innovations may outweigh their benefits. Consequently, we propose the following:</w:t>
      </w:r>
    </w:p>
    <w:p w14:paraId="49E6B048" w14:textId="798B82D0" w:rsidR="00290153" w:rsidRPr="004664FE" w:rsidRDefault="008968D6" w:rsidP="00290153">
      <w:pPr>
        <w:spacing w:line="480" w:lineRule="auto"/>
        <w:ind w:firstLine="708"/>
        <w:jc w:val="both"/>
        <w:rPr>
          <w:rFonts w:ascii="Times New Roman" w:hAnsi="Times New Roman" w:cs="Times New Roman"/>
          <w:i/>
          <w:iCs/>
          <w:sz w:val="24"/>
          <w:szCs w:val="24"/>
        </w:rPr>
      </w:pPr>
      <w:r w:rsidRPr="004664FE">
        <w:rPr>
          <w:rFonts w:ascii="Times New Roman" w:hAnsi="Times New Roman" w:cs="Times New Roman"/>
          <w:i/>
          <w:iCs/>
          <w:sz w:val="24"/>
          <w:szCs w:val="24"/>
        </w:rPr>
        <w:t>H1. There is an inverted U</w:t>
      </w:r>
      <w:r w:rsidR="00A23289" w:rsidRPr="004664FE">
        <w:rPr>
          <w:rFonts w:ascii="Times New Roman" w:hAnsi="Times New Roman" w:cs="Times New Roman"/>
          <w:i/>
          <w:iCs/>
          <w:sz w:val="24"/>
          <w:szCs w:val="24"/>
        </w:rPr>
        <w:t>-shaped</w:t>
      </w:r>
      <w:r w:rsidRPr="004664FE">
        <w:rPr>
          <w:rFonts w:ascii="Times New Roman" w:hAnsi="Times New Roman" w:cs="Times New Roman"/>
          <w:i/>
          <w:iCs/>
          <w:sz w:val="24"/>
          <w:szCs w:val="24"/>
        </w:rPr>
        <w:t xml:space="preserve"> relationship between the development of environmental innovations and firm performance.</w:t>
      </w:r>
    </w:p>
    <w:p w14:paraId="70798528" w14:textId="090CC4CD" w:rsidR="00DD19F2" w:rsidRPr="004664FE" w:rsidRDefault="008968D6" w:rsidP="005F0660">
      <w:pPr>
        <w:spacing w:line="480" w:lineRule="auto"/>
        <w:ind w:firstLine="708"/>
        <w:jc w:val="both"/>
        <w:rPr>
          <w:rFonts w:ascii="Times New Roman" w:eastAsia="Times New Roman" w:hAnsi="Times New Roman" w:cs="Times New Roman"/>
          <w:b/>
          <w:color w:val="201F1E"/>
          <w:sz w:val="24"/>
          <w:szCs w:val="24"/>
          <w:lang w:eastAsia="es-ES"/>
        </w:rPr>
      </w:pPr>
      <w:r w:rsidRPr="004664FE">
        <w:rPr>
          <w:rFonts w:ascii="Times New Roman" w:eastAsia="Times New Roman" w:hAnsi="Times New Roman" w:cs="Times New Roman"/>
          <w:b/>
          <w:color w:val="201F1E"/>
          <w:sz w:val="24"/>
          <w:szCs w:val="24"/>
          <w:lang w:eastAsia="es-ES"/>
        </w:rPr>
        <w:t>The moderating effect of firm age on the relationship between the development of environmental innovations and firm performance</w:t>
      </w:r>
    </w:p>
    <w:p w14:paraId="58A68684" w14:textId="782669BC" w:rsidR="00C10384" w:rsidRPr="004664FE" w:rsidRDefault="008968D6" w:rsidP="0021696D">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Age is a characteristic of firms that influences their experience, resources, relationship with stakeholders, reputation, strategic position, and market share (D'Amato &amp; Falivena, 2019). In this regard, previous literature has considered firm age to be a contingency that can significantly affect organizational outcomes, such as corporate social initiatives (Withisuphakorn &amp; Jiraporn, 2016) and innovation (Balasubramanian &amp; Lee, 2008; Tripsas &amp; Gavetti, 2000). It is thus important to </w:t>
      </w:r>
      <w:proofErr w:type="gramStart"/>
      <w:r w:rsidRPr="004664FE">
        <w:rPr>
          <w:rFonts w:ascii="Times New Roman" w:hAnsi="Times New Roman" w:cs="Times New Roman"/>
          <w:sz w:val="24"/>
          <w:szCs w:val="24"/>
        </w:rPr>
        <w:t>take into account</w:t>
      </w:r>
      <w:proofErr w:type="gramEnd"/>
      <w:r w:rsidRPr="004664FE">
        <w:rPr>
          <w:rFonts w:ascii="Times New Roman" w:hAnsi="Times New Roman" w:cs="Times New Roman"/>
          <w:sz w:val="24"/>
          <w:szCs w:val="24"/>
        </w:rPr>
        <w:t xml:space="preserve"> that younger and more mature firms present different features that determine their ability to launch new products into the market, develop socially responsible practices, or capitalize from new discoveries to increase financial results (Withisuphakorn &amp; Jiraporn, 2016). For this reason, some studies in the innovation literature have explored how age </w:t>
      </w:r>
      <w:proofErr w:type="gramStart"/>
      <w:r w:rsidRPr="004664FE">
        <w:rPr>
          <w:rFonts w:ascii="Times New Roman" w:hAnsi="Times New Roman" w:cs="Times New Roman"/>
          <w:sz w:val="24"/>
          <w:szCs w:val="24"/>
        </w:rPr>
        <w:t>moderates</w:t>
      </w:r>
      <w:proofErr w:type="gramEnd"/>
      <w:r w:rsidRPr="004664FE">
        <w:rPr>
          <w:rFonts w:ascii="Times New Roman" w:hAnsi="Times New Roman" w:cs="Times New Roman"/>
          <w:sz w:val="24"/>
          <w:szCs w:val="24"/>
        </w:rPr>
        <w:t xml:space="preserve"> firms’ capacity to turn innovation efforts into performance (Balasubramanian &amp; Lee, 2008; Coad et al., 2016), yet these</w:t>
      </w:r>
      <w:r w:rsidR="001C5379" w:rsidRPr="004664FE">
        <w:rPr>
          <w:rFonts w:ascii="Times New Roman" w:eastAsia="Calibri" w:hAnsi="Times New Roman" w:cs="Times New Roman"/>
          <w:sz w:val="24"/>
          <w:szCs w:val="24"/>
        </w:rPr>
        <w:t xml:space="preserve"> studies have also found</w:t>
      </w:r>
      <w:r w:rsidR="007F39AF" w:rsidRPr="004664FE">
        <w:rPr>
          <w:rFonts w:ascii="Times New Roman" w:hAnsi="Times New Roman" w:cs="Times New Roman"/>
          <w:sz w:val="24"/>
          <w:szCs w:val="24"/>
        </w:rPr>
        <w:t xml:space="preserve"> contradictory results. Moving forward, we try to elucidate these opposing conclusions by analyzing the moderating effect of age in the context of environmental innovations. More specifically, we want to assess whether the nonlinear relationship proposed between environmental innovations and firm performance varies as firms evolve and mature over time.</w:t>
      </w:r>
    </w:p>
    <w:p w14:paraId="08C96817" w14:textId="74B33B05" w:rsidR="00503C2B" w:rsidRPr="004664FE" w:rsidRDefault="008968D6" w:rsidP="00461A8C">
      <w:pPr>
        <w:spacing w:after="0" w:line="480" w:lineRule="auto"/>
        <w:ind w:firstLine="708"/>
        <w:jc w:val="both"/>
        <w:rPr>
          <w:rFonts w:ascii="Times New Roman" w:hAnsi="Times New Roman" w:cs="Times New Roman"/>
          <w:iCs/>
          <w:sz w:val="24"/>
          <w:szCs w:val="24"/>
        </w:rPr>
      </w:pPr>
      <w:r w:rsidRPr="004664FE">
        <w:rPr>
          <w:rFonts w:ascii="Times New Roman" w:hAnsi="Times New Roman" w:cs="Times New Roman"/>
          <w:iCs/>
          <w:sz w:val="24"/>
          <w:szCs w:val="24"/>
        </w:rPr>
        <w:t xml:space="preserve">Different authors indicate that younger firms may face important disadvantages that hinder them </w:t>
      </w:r>
      <w:r w:rsidR="001C5379" w:rsidRPr="004664FE">
        <w:rPr>
          <w:rFonts w:ascii="Times New Roman" w:eastAsia="Calibri" w:hAnsi="Times New Roman" w:cs="Times New Roman"/>
          <w:iCs/>
          <w:sz w:val="24"/>
          <w:szCs w:val="24"/>
        </w:rPr>
        <w:t>from</w:t>
      </w:r>
      <w:r w:rsidRPr="004664FE">
        <w:rPr>
          <w:rFonts w:ascii="Times New Roman" w:hAnsi="Times New Roman" w:cs="Times New Roman"/>
          <w:iCs/>
          <w:sz w:val="24"/>
          <w:szCs w:val="24"/>
        </w:rPr>
        <w:t xml:space="preserve"> fully </w:t>
      </w:r>
      <w:r w:rsidR="002A3B85" w:rsidRPr="004664FE">
        <w:rPr>
          <w:rFonts w:ascii="Times New Roman" w:eastAsia="Calibri" w:hAnsi="Times New Roman" w:cs="Times New Roman"/>
          <w:iCs/>
          <w:sz w:val="24"/>
          <w:szCs w:val="24"/>
        </w:rPr>
        <w:t>benefiting</w:t>
      </w:r>
      <w:r w:rsidRPr="004664FE">
        <w:rPr>
          <w:rFonts w:ascii="Times New Roman" w:hAnsi="Times New Roman" w:cs="Times New Roman"/>
          <w:iCs/>
          <w:sz w:val="24"/>
          <w:szCs w:val="24"/>
        </w:rPr>
        <w:t xml:space="preserve"> from innovation investments (Coad, Segarra &amp; Teruel, 2013; Helfat &amp; Peteraf, 2003). In this sense, younger firms usually have a lower absorptive capacity to acquire and exploit external knowledge flows (</w:t>
      </w:r>
      <w:bookmarkStart w:id="7" w:name="_Hlk65610910"/>
      <w:r w:rsidRPr="004664FE">
        <w:rPr>
          <w:rFonts w:ascii="Times New Roman" w:hAnsi="Times New Roman" w:cs="Times New Roman"/>
          <w:iCs/>
          <w:sz w:val="24"/>
          <w:szCs w:val="24"/>
        </w:rPr>
        <w:t>Zahra &amp; George, 2002</w:t>
      </w:r>
      <w:bookmarkEnd w:id="7"/>
      <w:r w:rsidRPr="004664FE">
        <w:rPr>
          <w:rFonts w:ascii="Times New Roman" w:hAnsi="Times New Roman" w:cs="Times New Roman"/>
          <w:iCs/>
          <w:sz w:val="24"/>
          <w:szCs w:val="24"/>
        </w:rPr>
        <w:t xml:space="preserve">), which decreases their </w:t>
      </w:r>
      <w:r w:rsidRPr="004664FE">
        <w:rPr>
          <w:rFonts w:ascii="Times New Roman" w:hAnsi="Times New Roman" w:cs="Times New Roman"/>
          <w:iCs/>
          <w:sz w:val="24"/>
          <w:szCs w:val="24"/>
        </w:rPr>
        <w:lastRenderedPageBreak/>
        <w:t>ability to make the most of such inputs in innovating, in part because of their lack of complementary resources (Bolívar-Ramos, 2017). As companies age, they learn and thereby improve their ways of doing things, develop dynamic capabilities, increase their ability to survive, and achieve greater profits over time (Rossi, 2016).</w:t>
      </w:r>
      <w:r w:rsidR="001C5379" w:rsidRPr="004664FE">
        <w:rPr>
          <w:rFonts w:ascii="Times New Roman" w:eastAsia="Calibri" w:hAnsi="Times New Roman" w:cs="Times New Roman"/>
          <w:iCs/>
          <w:sz w:val="24"/>
          <w:szCs w:val="24"/>
        </w:rPr>
        <w:t xml:space="preserve"> </w:t>
      </w:r>
      <w:r w:rsidRPr="004664FE">
        <w:rPr>
          <w:rFonts w:ascii="Times New Roman" w:hAnsi="Times New Roman" w:cs="Times New Roman"/>
          <w:iCs/>
          <w:sz w:val="24"/>
          <w:szCs w:val="24"/>
        </w:rPr>
        <w:t xml:space="preserve">For instance, in a sustainable context, established companies such as Microsoft, Intel, and General Motors have </w:t>
      </w:r>
      <w:r w:rsidR="001C5379" w:rsidRPr="004664FE">
        <w:rPr>
          <w:rFonts w:ascii="Times New Roman" w:eastAsia="Calibri" w:hAnsi="Times New Roman" w:cs="Times New Roman"/>
          <w:iCs/>
          <w:sz w:val="24"/>
          <w:szCs w:val="24"/>
        </w:rPr>
        <w:t>made</w:t>
      </w:r>
      <w:r w:rsidRPr="004664FE">
        <w:rPr>
          <w:rFonts w:ascii="Times New Roman" w:hAnsi="Times New Roman" w:cs="Times New Roman"/>
          <w:iCs/>
          <w:sz w:val="24"/>
          <w:szCs w:val="24"/>
        </w:rPr>
        <w:t xml:space="preserve"> significant efforts toward environmental leadership that have led to greater profits compared to their peers (Forbes, 2019). Along these lines,</w:t>
      </w:r>
      <w:r w:rsidR="001C5379" w:rsidRPr="004664FE">
        <w:rPr>
          <w:rFonts w:ascii="Times New Roman" w:eastAsia="Calibri" w:hAnsi="Times New Roman" w:cs="Times New Roman"/>
          <w:iCs/>
          <w:sz w:val="24"/>
          <w:szCs w:val="24"/>
        </w:rPr>
        <w:t xml:space="preserve"> </w:t>
      </w:r>
      <w:r w:rsidRPr="004664FE">
        <w:rPr>
          <w:rFonts w:ascii="Times New Roman" w:hAnsi="Times New Roman" w:cs="Times New Roman"/>
          <w:iCs/>
          <w:sz w:val="24"/>
          <w:szCs w:val="24"/>
        </w:rPr>
        <w:t>authors such as D’Amato and Falivena (2019) have found that corporate social responsibility initiatives—e.g.</w:t>
      </w:r>
      <w:r w:rsidR="001C5379" w:rsidRPr="004664FE">
        <w:rPr>
          <w:rFonts w:ascii="Times New Roman" w:eastAsia="Calibri" w:hAnsi="Times New Roman" w:cs="Times New Roman"/>
          <w:iCs/>
          <w:sz w:val="24"/>
          <w:szCs w:val="24"/>
        </w:rPr>
        <w:t>,</w:t>
      </w:r>
      <w:r w:rsidRPr="004664FE">
        <w:rPr>
          <w:rFonts w:ascii="Times New Roman" w:hAnsi="Times New Roman" w:cs="Times New Roman"/>
          <w:iCs/>
          <w:sz w:val="24"/>
          <w:szCs w:val="24"/>
        </w:rPr>
        <w:t xml:space="preserve"> those that promote environmental protection—may translate into higher financial results in more mature firms than in younger firms for the following reasons: first, younger firms tend to experiment with more volatile cash flows, having </w:t>
      </w:r>
      <w:r w:rsidR="001C5379" w:rsidRPr="004664FE">
        <w:rPr>
          <w:rFonts w:ascii="Times New Roman" w:eastAsia="Calibri" w:hAnsi="Times New Roman" w:cs="Times New Roman"/>
          <w:iCs/>
          <w:sz w:val="24"/>
          <w:szCs w:val="24"/>
        </w:rPr>
        <w:t>fewer</w:t>
      </w:r>
      <w:r w:rsidRPr="004664FE">
        <w:rPr>
          <w:rFonts w:ascii="Times New Roman" w:hAnsi="Times New Roman" w:cs="Times New Roman"/>
          <w:iCs/>
          <w:sz w:val="24"/>
          <w:szCs w:val="24"/>
        </w:rPr>
        <w:t xml:space="preserve"> resources to develop socially responsible initiatives; second, older firms can benefit from more firm-specific human capital derived from past experience; and third, more mature firms have</w:t>
      </w:r>
      <w:r w:rsidR="001C5379" w:rsidRPr="004664FE">
        <w:rPr>
          <w:rFonts w:ascii="Times New Roman" w:eastAsia="Calibri" w:hAnsi="Times New Roman" w:cs="Times New Roman"/>
          <w:iCs/>
          <w:sz w:val="24"/>
          <w:szCs w:val="24"/>
        </w:rPr>
        <w:t xml:space="preserve"> </w:t>
      </w:r>
      <w:r w:rsidRPr="004664FE">
        <w:rPr>
          <w:rFonts w:ascii="Times New Roman" w:hAnsi="Times New Roman" w:cs="Times New Roman"/>
          <w:iCs/>
          <w:sz w:val="24"/>
          <w:szCs w:val="24"/>
        </w:rPr>
        <w:t xml:space="preserve">had more time to consolidate their reputations regarding these </w:t>
      </w:r>
      <w:r w:rsidR="001C5379" w:rsidRPr="004664FE">
        <w:rPr>
          <w:rFonts w:ascii="Times New Roman" w:eastAsia="Calibri" w:hAnsi="Times New Roman" w:cs="Times New Roman"/>
          <w:iCs/>
          <w:sz w:val="24"/>
          <w:szCs w:val="24"/>
        </w:rPr>
        <w:t>types</w:t>
      </w:r>
      <w:r w:rsidRPr="004664FE">
        <w:rPr>
          <w:rFonts w:ascii="Times New Roman" w:hAnsi="Times New Roman" w:cs="Times New Roman"/>
          <w:iCs/>
          <w:sz w:val="24"/>
          <w:szCs w:val="24"/>
        </w:rPr>
        <w:t xml:space="preserve"> of practices.</w:t>
      </w:r>
    </w:p>
    <w:p w14:paraId="6E7961A6" w14:textId="0A10120D" w:rsidR="00777FA2" w:rsidRPr="004664FE" w:rsidRDefault="008968D6" w:rsidP="00777FA2">
      <w:pPr>
        <w:autoSpaceDE w:val="0"/>
        <w:autoSpaceDN w:val="0"/>
        <w:adjustRightInd w:val="0"/>
        <w:spacing w:after="0" w:line="480" w:lineRule="auto"/>
        <w:ind w:firstLine="708"/>
        <w:jc w:val="both"/>
        <w:rPr>
          <w:rFonts w:ascii="Times New Roman" w:hAnsi="Times New Roman" w:cs="Times New Roman"/>
          <w:iCs/>
          <w:sz w:val="24"/>
          <w:szCs w:val="24"/>
        </w:rPr>
      </w:pPr>
      <w:r w:rsidRPr="004664FE">
        <w:rPr>
          <w:rFonts w:ascii="Times New Roman" w:hAnsi="Times New Roman" w:cs="Times New Roman"/>
          <w:iCs/>
          <w:sz w:val="24"/>
          <w:szCs w:val="24"/>
        </w:rPr>
        <w:t xml:space="preserve">However, although older firms may become more dominant over their surroundings, they also become less able to face and respond to new challenges due to organizational inertia (Hannan &amp; Freeman, 1984; Kücher, Mayr, Mitter, Duller &amp; Feldbauer-Durstmüller, 2018; Rossi, 2016). Recently, we </w:t>
      </w:r>
      <w:r w:rsidR="001C5379" w:rsidRPr="004664FE">
        <w:rPr>
          <w:rFonts w:ascii="Times New Roman" w:eastAsia="Calibri" w:hAnsi="Times New Roman" w:cs="Times New Roman"/>
          <w:iCs/>
          <w:sz w:val="24"/>
          <w:szCs w:val="24"/>
        </w:rPr>
        <w:t>have witnessed</w:t>
      </w:r>
      <w:r w:rsidR="00871B43" w:rsidRPr="004664FE">
        <w:rPr>
          <w:rFonts w:ascii="Times New Roman" w:hAnsi="Times New Roman" w:cs="Times New Roman"/>
          <w:iCs/>
          <w:sz w:val="24"/>
          <w:szCs w:val="24"/>
        </w:rPr>
        <w:t xml:space="preserve"> young firms’ success in this area; for example,</w:t>
      </w:r>
      <w:r w:rsidRPr="004664FE">
        <w:rPr>
          <w:rFonts w:ascii="Times New Roman" w:hAnsi="Times New Roman" w:cs="Times New Roman"/>
          <w:b/>
          <w:iCs/>
          <w:sz w:val="24"/>
          <w:szCs w:val="24"/>
        </w:rPr>
        <w:t xml:space="preserve"> </w:t>
      </w:r>
      <w:r w:rsidR="002A3B85" w:rsidRPr="004664FE">
        <w:rPr>
          <w:rStyle w:val="Textoennegrita"/>
          <w:rFonts w:ascii="Times New Roman" w:hAnsi="Times New Roman" w:cs="Times New Roman"/>
          <w:b w:val="0"/>
          <w:spacing w:val="2"/>
          <w:sz w:val="24"/>
          <w:szCs w:val="24"/>
          <w:shd w:val="clear" w:color="auto" w:fill="FFFFFF"/>
        </w:rPr>
        <w:t>SolarEdge Technologies (founded in 2006) has not only introduced leading innovations in solar optimizers and inverters —</w:t>
      </w:r>
      <w:r w:rsidR="00871B43" w:rsidRPr="004664FE">
        <w:rPr>
          <w:rStyle w:val="Textoennegrita"/>
          <w:rFonts w:ascii="Times New Roman" w:eastAsia="Calibri" w:hAnsi="Times New Roman" w:cs="Times New Roman"/>
          <w:b w:val="0"/>
          <w:spacing w:val="2"/>
          <w:sz w:val="24"/>
          <w:szCs w:val="24"/>
        </w:rPr>
        <w:t>winning</w:t>
      </w:r>
      <w:r w:rsidRPr="004664FE">
        <w:rPr>
          <w:rStyle w:val="Textoennegrita"/>
          <w:rFonts w:ascii="Times New Roman" w:hAnsi="Times New Roman" w:cs="Times New Roman"/>
          <w:b w:val="0"/>
          <w:spacing w:val="2"/>
          <w:sz w:val="24"/>
          <w:szCs w:val="24"/>
          <w:shd w:val="clear" w:color="auto" w:fill="FFFFFF"/>
        </w:rPr>
        <w:t xml:space="preserve"> several awards— but also become one of the top 10 largest companies that </w:t>
      </w:r>
      <w:r w:rsidR="001C5379" w:rsidRPr="004664FE">
        <w:rPr>
          <w:rStyle w:val="Textoennegrita"/>
          <w:rFonts w:ascii="Times New Roman" w:eastAsia="Calibri" w:hAnsi="Times New Roman" w:cs="Times New Roman"/>
          <w:b w:val="0"/>
          <w:spacing w:val="2"/>
          <w:sz w:val="24"/>
          <w:szCs w:val="24"/>
        </w:rPr>
        <w:t>derive</w:t>
      </w:r>
      <w:r w:rsidRPr="004664FE">
        <w:rPr>
          <w:rStyle w:val="Textoennegrita"/>
          <w:rFonts w:ascii="Times New Roman" w:hAnsi="Times New Roman" w:cs="Times New Roman"/>
          <w:b w:val="0"/>
          <w:spacing w:val="2"/>
          <w:sz w:val="24"/>
          <w:szCs w:val="24"/>
          <w:shd w:val="clear" w:color="auto" w:fill="FFFFFF"/>
        </w:rPr>
        <w:t xml:space="preserve"> the majority of its revenues from renewable energies, with a market capitalization of $3.9 billion (Finance Yahoo, 2019).</w:t>
      </w:r>
      <w:r w:rsidRPr="004664FE">
        <w:rPr>
          <w:rFonts w:ascii="Times New Roman" w:hAnsi="Times New Roman" w:cs="Times New Roman"/>
          <w:b/>
          <w:sz w:val="24"/>
          <w:szCs w:val="24"/>
        </w:rPr>
        <w:t xml:space="preserve"> </w:t>
      </w:r>
      <w:r w:rsidR="008048FB" w:rsidRPr="004664FE">
        <w:rPr>
          <w:rFonts w:ascii="Times New Roman" w:hAnsi="Times New Roman" w:cs="Times New Roman"/>
          <w:iCs/>
          <w:sz w:val="24"/>
          <w:szCs w:val="24"/>
        </w:rPr>
        <w:t xml:space="preserve">In this sense, younger firms may pursue riskier and more promising environmental opportunities than more mature firms since incumbents may </w:t>
      </w:r>
      <w:r w:rsidR="001C5379" w:rsidRPr="004664FE">
        <w:rPr>
          <w:rFonts w:ascii="Times New Roman" w:eastAsia="Calibri" w:hAnsi="Times New Roman" w:cs="Times New Roman"/>
          <w:iCs/>
          <w:sz w:val="24"/>
          <w:szCs w:val="24"/>
        </w:rPr>
        <w:t>be</w:t>
      </w:r>
      <w:r w:rsidR="008048FB" w:rsidRPr="004664FE">
        <w:rPr>
          <w:rFonts w:ascii="Times New Roman" w:hAnsi="Times New Roman" w:cs="Times New Roman"/>
          <w:iCs/>
          <w:sz w:val="24"/>
          <w:szCs w:val="24"/>
        </w:rPr>
        <w:t xml:space="preserve"> more hesitant to develop “green strategies” and introduce sustainable products that could cannibalize their existing products (Nicholls &amp; Opal, 2005). This, in turn, </w:t>
      </w:r>
      <w:r w:rsidR="008048FB" w:rsidRPr="004664FE">
        <w:rPr>
          <w:rFonts w:ascii="Times New Roman" w:hAnsi="Times New Roman" w:cs="Times New Roman"/>
          <w:iCs/>
          <w:sz w:val="24"/>
          <w:szCs w:val="24"/>
        </w:rPr>
        <w:lastRenderedPageBreak/>
        <w:t xml:space="preserve">could imply that the environmental innovations introduced by more mature firms may not be too different or more radical than their traditional portfolio, leading to a lower impact on firm performance (Shrivastava &amp; Tamvada, 2019). In addition, mature firms usually suffer greater rigidities, which ties them to the familiar knowledge they possess, whereas younger firms are usually more capable </w:t>
      </w:r>
      <w:r w:rsidR="001C5379" w:rsidRPr="004664FE">
        <w:rPr>
          <w:rFonts w:ascii="Times New Roman" w:eastAsia="Calibri" w:hAnsi="Times New Roman" w:cs="Times New Roman"/>
          <w:iCs/>
          <w:sz w:val="24"/>
          <w:szCs w:val="24"/>
        </w:rPr>
        <w:t>of exploiting</w:t>
      </w:r>
      <w:r w:rsidR="00FA375D" w:rsidRPr="004664FE">
        <w:rPr>
          <w:rFonts w:ascii="Times New Roman" w:hAnsi="Times New Roman" w:cs="Times New Roman"/>
          <w:iCs/>
          <w:sz w:val="24"/>
          <w:szCs w:val="24"/>
        </w:rPr>
        <w:t xml:space="preserve"> nascent technologies (Petruzzelli, Ardito &amp; Savino, 2018), such as environmental technologies—in many cases, related to emerging fields (Horbach, 2016). Consequently, younger firms may reap more benefits from environmental technologies with great profitability potential compared to older firms that, in turn, will experience more pronounced declining effects on performance for high levels of environmental innovation.</w:t>
      </w:r>
    </w:p>
    <w:p w14:paraId="6B04EBE8" w14:textId="72B52007" w:rsidR="00777FA2" w:rsidRPr="004664FE" w:rsidRDefault="008968D6" w:rsidP="005004C1">
      <w:pPr>
        <w:autoSpaceDE w:val="0"/>
        <w:autoSpaceDN w:val="0"/>
        <w:adjustRightInd w:val="0"/>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iCs/>
          <w:sz w:val="24"/>
          <w:szCs w:val="24"/>
        </w:rPr>
        <w:t xml:space="preserve"> As discussed previously, more mature firms usually possess greater technological resources, </w:t>
      </w:r>
      <w:proofErr w:type="gramStart"/>
      <w:r w:rsidRPr="004664FE">
        <w:rPr>
          <w:rFonts w:ascii="Times New Roman" w:hAnsi="Times New Roman" w:cs="Times New Roman"/>
          <w:iCs/>
          <w:sz w:val="24"/>
          <w:szCs w:val="24"/>
        </w:rPr>
        <w:t>capabilities</w:t>
      </w:r>
      <w:proofErr w:type="gramEnd"/>
      <w:r w:rsidRPr="004664FE">
        <w:rPr>
          <w:rFonts w:ascii="Times New Roman" w:hAnsi="Times New Roman" w:cs="Times New Roman"/>
          <w:iCs/>
          <w:sz w:val="24"/>
          <w:szCs w:val="24"/>
        </w:rPr>
        <w:t xml:space="preserve"> and competences, but these characteristics also constitute the base for their “path dependency”. Thus, commonly, they concentrate on exploiting such resources, rather than pursuing different technological trajectories (Kiefer, Del Rio Gonzalez, &amp; Carrillo‐Hermosilla, 2019). In addition, newer firms have been found to possess an advantage on the environmental front over older firms, as they have more modern assets that include more energy-efficient manufacturing equipment and the latest environmental technologies (Balasubramanian, Shukla, Mangla, &amp; Chanchaichujit, 2020; </w:t>
      </w:r>
      <w:bookmarkStart w:id="8" w:name="_Hlk65611395"/>
      <w:r w:rsidR="008679A9" w:rsidRPr="004664FE">
        <w:rPr>
          <w:rFonts w:ascii="Times New Roman" w:hAnsi="Times New Roman" w:cs="Times New Roman"/>
          <w:iCs/>
          <w:sz w:val="24"/>
          <w:szCs w:val="24"/>
        </w:rPr>
        <w:t xml:space="preserve">Tatoglu, </w:t>
      </w:r>
      <w:r w:rsidR="008679A9" w:rsidRPr="004664FE">
        <w:rPr>
          <w:rStyle w:val="author"/>
          <w:rFonts w:ascii="Times New Roman" w:hAnsi="Times New Roman" w:cs="Times New Roman"/>
          <w:color w:val="1C1D1E"/>
          <w:sz w:val="24"/>
          <w:szCs w:val="24"/>
          <w:bdr w:val="none" w:sz="0" w:space="0" w:color="auto" w:frame="1"/>
          <w:shd w:val="clear" w:color="auto" w:fill="FFFFFF"/>
        </w:rPr>
        <w:t>Bayraktar,</w:t>
      </w:r>
      <w:r w:rsidR="008679A9" w:rsidRPr="004664FE">
        <w:rPr>
          <w:rFonts w:ascii="Times New Roman" w:hAnsi="Times New Roman" w:cs="Times New Roman"/>
          <w:color w:val="1C1D1E"/>
          <w:sz w:val="24"/>
          <w:szCs w:val="24"/>
          <w:bdr w:val="none" w:sz="0" w:space="0" w:color="auto" w:frame="1"/>
          <w:shd w:val="clear" w:color="auto" w:fill="FFFFFF"/>
        </w:rPr>
        <w:t> </w:t>
      </w:r>
      <w:r w:rsidR="008679A9" w:rsidRPr="004664FE">
        <w:rPr>
          <w:rStyle w:val="author"/>
          <w:rFonts w:ascii="Times New Roman" w:hAnsi="Times New Roman" w:cs="Times New Roman"/>
          <w:color w:val="1C1D1E"/>
          <w:sz w:val="24"/>
          <w:szCs w:val="24"/>
          <w:bdr w:val="none" w:sz="0" w:space="0" w:color="auto" w:frame="1"/>
          <w:shd w:val="clear" w:color="auto" w:fill="FFFFFF"/>
        </w:rPr>
        <w:t xml:space="preserve">Sahadev, Demirbag, </w:t>
      </w:r>
      <w:r w:rsidR="008679A9" w:rsidRPr="004664FE">
        <w:rPr>
          <w:rFonts w:ascii="Times New Roman" w:hAnsi="Times New Roman" w:cs="Times New Roman"/>
          <w:color w:val="1C1D1E"/>
          <w:sz w:val="24"/>
          <w:szCs w:val="24"/>
          <w:bdr w:val="none" w:sz="0" w:space="0" w:color="auto" w:frame="1"/>
          <w:shd w:val="clear" w:color="auto" w:fill="FFFFFF"/>
        </w:rPr>
        <w:t>&amp; </w:t>
      </w:r>
      <w:r w:rsidR="008679A9" w:rsidRPr="004664FE">
        <w:rPr>
          <w:rStyle w:val="author"/>
          <w:rFonts w:ascii="Times New Roman" w:hAnsi="Times New Roman" w:cs="Times New Roman"/>
          <w:color w:val="1C1D1E"/>
          <w:sz w:val="24"/>
          <w:szCs w:val="24"/>
          <w:bdr w:val="none" w:sz="0" w:space="0" w:color="auto" w:frame="1"/>
          <w:shd w:val="clear" w:color="auto" w:fill="FFFFFF"/>
        </w:rPr>
        <w:t>Glaister,</w:t>
      </w:r>
      <w:r w:rsidR="008679A9" w:rsidRPr="004664FE">
        <w:rPr>
          <w:rStyle w:val="author"/>
          <w:rFonts w:ascii="Times New Roman" w:hAnsi="Times New Roman"/>
          <w:color w:val="1C1D1E"/>
          <w:sz w:val="24"/>
          <w:bdr w:val="none" w:sz="0" w:space="0" w:color="auto" w:frame="1"/>
          <w:shd w:val="clear" w:color="auto" w:fill="FFFFFF"/>
        </w:rPr>
        <w:t xml:space="preserve"> </w:t>
      </w:r>
      <w:r w:rsidRPr="004664FE">
        <w:rPr>
          <w:rFonts w:ascii="Times New Roman" w:hAnsi="Times New Roman" w:cs="Times New Roman"/>
          <w:iCs/>
          <w:sz w:val="24"/>
          <w:szCs w:val="24"/>
        </w:rPr>
        <w:t>2014</w:t>
      </w:r>
      <w:bookmarkEnd w:id="8"/>
      <w:r w:rsidRPr="004664FE">
        <w:rPr>
          <w:rFonts w:ascii="Times New Roman" w:hAnsi="Times New Roman" w:cs="Times New Roman"/>
          <w:iCs/>
          <w:sz w:val="24"/>
          <w:szCs w:val="24"/>
        </w:rPr>
        <w:t xml:space="preserve">). In other words, we contend that </w:t>
      </w:r>
      <w:r w:rsidR="007E60BE" w:rsidRPr="004664FE">
        <w:rPr>
          <w:rFonts w:ascii="Times New Roman" w:eastAsia="Times New Roman" w:hAnsi="Times New Roman" w:cs="Times New Roman"/>
          <w:sz w:val="24"/>
          <w:szCs w:val="24"/>
        </w:rPr>
        <w:t>at high levels of environmental innovation, older firms may experience more declining benefits than newer firms because their rigidities and organizational inertia may make the eco-innovative process less disruptive and more likely to follow past routines (</w:t>
      </w:r>
      <w:r w:rsidR="007E60BE" w:rsidRPr="004664FE">
        <w:rPr>
          <w:rFonts w:ascii="Times New Roman" w:hAnsi="Times New Roman" w:cs="Times New Roman"/>
          <w:sz w:val="24"/>
          <w:szCs w:val="24"/>
        </w:rPr>
        <w:t>Elsayed, 2006)</w:t>
      </w:r>
      <w:r w:rsidRPr="004664FE">
        <w:rPr>
          <w:rFonts w:ascii="Times New Roman" w:eastAsia="Times New Roman" w:hAnsi="Times New Roman" w:cs="Times New Roman"/>
          <w:sz w:val="24"/>
          <w:szCs w:val="24"/>
        </w:rPr>
        <w:t xml:space="preserve">, which can subsequently translate into missing profitable alternatives. </w:t>
      </w:r>
      <w:r w:rsidR="008048FB" w:rsidRPr="004664FE">
        <w:rPr>
          <w:rFonts w:ascii="Times New Roman" w:hAnsi="Times New Roman" w:cs="Times New Roman"/>
          <w:sz w:val="24"/>
          <w:szCs w:val="24"/>
        </w:rPr>
        <w:t xml:space="preserve">Conversely, younger firms may be more proactive </w:t>
      </w:r>
      <w:r w:rsidR="001C5379" w:rsidRPr="004664FE">
        <w:rPr>
          <w:rFonts w:ascii="Times New Roman" w:eastAsia="Calibri" w:hAnsi="Times New Roman" w:cs="Times New Roman"/>
          <w:sz w:val="24"/>
          <w:szCs w:val="24"/>
        </w:rPr>
        <w:t>in exploiting</w:t>
      </w:r>
      <w:r w:rsidR="008048FB" w:rsidRPr="004664FE">
        <w:rPr>
          <w:rFonts w:ascii="Times New Roman" w:hAnsi="Times New Roman" w:cs="Times New Roman"/>
          <w:sz w:val="24"/>
          <w:szCs w:val="24"/>
        </w:rPr>
        <w:t xml:space="preserve"> new innovation opportunities (</w:t>
      </w:r>
      <w:r w:rsidR="008048FB" w:rsidRPr="004664FE">
        <w:rPr>
          <w:rFonts w:ascii="Times New Roman" w:hAnsi="Times New Roman" w:cs="Times New Roman"/>
          <w:color w:val="131413"/>
          <w:sz w:val="24"/>
          <w:szCs w:val="24"/>
        </w:rPr>
        <w:t>Huergo &amp; Jaumandreu, 2004)</w:t>
      </w:r>
      <w:r w:rsidR="001C5379" w:rsidRPr="004664FE">
        <w:rPr>
          <w:rFonts w:ascii="Times New Roman" w:hAnsi="Times New Roman" w:cs="Times New Roman"/>
          <w:sz w:val="24"/>
          <w:szCs w:val="24"/>
        </w:rPr>
        <w:t xml:space="preserve">, which can activate green mechanisms that improve firm performance, such as via green differentiation advantages, eco-efficiency, or tapping green demand market segments (Leonci et al., 2019). In this case, </w:t>
      </w:r>
      <w:bookmarkStart w:id="9" w:name="_Hlk71623552"/>
      <w:r w:rsidR="001C5379" w:rsidRPr="004664FE">
        <w:rPr>
          <w:rFonts w:ascii="Times New Roman" w:hAnsi="Times New Roman" w:cs="Times New Roman"/>
          <w:sz w:val="24"/>
          <w:szCs w:val="24"/>
        </w:rPr>
        <w:t xml:space="preserve">even </w:t>
      </w:r>
      <w:r w:rsidR="001C5379" w:rsidRPr="004664FE">
        <w:rPr>
          <w:rFonts w:ascii="Times New Roman" w:hAnsi="Times New Roman" w:cs="Times New Roman"/>
          <w:sz w:val="24"/>
          <w:szCs w:val="24"/>
        </w:rPr>
        <w:lastRenderedPageBreak/>
        <w:t>the negative effects derived from a high level of environmental innovation (such as increased costs) will</w:t>
      </w:r>
      <w:r w:rsidR="001C5379" w:rsidRPr="004664FE">
        <w:rPr>
          <w:rFonts w:ascii="Times New Roman" w:eastAsia="Calibri" w:hAnsi="Times New Roman" w:cs="Times New Roman"/>
          <w:sz w:val="24"/>
          <w:szCs w:val="24"/>
        </w:rPr>
        <w:t xml:space="preserve"> still</w:t>
      </w:r>
      <w:r w:rsidR="007F39AF" w:rsidRPr="004664FE">
        <w:rPr>
          <w:rFonts w:ascii="Times New Roman" w:hAnsi="Times New Roman" w:cs="Times New Roman"/>
          <w:sz w:val="24"/>
          <w:szCs w:val="24"/>
        </w:rPr>
        <w:t xml:space="preserve"> be mitigated by the flexibility and ability of younger firms to pioneer under these circumstances, making the fall in financial performance at this turning point weaker than in the case of more mature firms. </w:t>
      </w:r>
      <w:r w:rsidR="00912DD9" w:rsidRPr="004664FE">
        <w:rPr>
          <w:rFonts w:ascii="Times New Roman" w:hAnsi="Times New Roman" w:cs="Times New Roman"/>
          <w:sz w:val="24"/>
          <w:szCs w:val="24"/>
        </w:rPr>
        <w:t xml:space="preserve">It is worth pointing out that although the means versus variance thesis proposed by Fleming (2001) suggests that explorative behaviors, such as those in novel eco-innovations, are typically associated with lower average performance with greater variance, we contend that in the case of younger firms, the average effects may be explained because investors value more highly explorative innovations than exploitative ones. </w:t>
      </w:r>
      <w:r w:rsidR="00912DD9" w:rsidRPr="004664FE">
        <w:rPr>
          <w:rFonts w:ascii="Times New Roman" w:hAnsi="Times New Roman"/>
          <w:sz w:val="24"/>
        </w:rPr>
        <w:t xml:space="preserve">Notably, since younger firms need to increase their legitimacy to a greater extent than older firms, they are also more likely to obtain additional rewards from engaging highly in environmental conduct, which, in turn, improves stakeholders’ positive perceptions of their business (Balasubramanian et al., </w:t>
      </w:r>
      <w:r w:rsidR="00912DD9" w:rsidRPr="004664FE">
        <w:rPr>
          <w:rFonts w:ascii="Times New Roman" w:hAnsi="Times New Roman" w:cs="Times New Roman"/>
          <w:sz w:val="24"/>
          <w:szCs w:val="24"/>
        </w:rPr>
        <w:t xml:space="preserve">2020; Welbeck, Owusu, Bekoe, &amp; Kusi, 2017). </w:t>
      </w:r>
      <w:r w:rsidR="00EB0F72" w:rsidRPr="004664FE">
        <w:rPr>
          <w:rFonts w:ascii="Times New Roman" w:hAnsi="Times New Roman" w:cs="Times New Roman"/>
          <w:sz w:val="24"/>
          <w:szCs w:val="24"/>
        </w:rPr>
        <w:t xml:space="preserve">This is also consistent with past research that </w:t>
      </w:r>
      <w:r w:rsidR="00A23289" w:rsidRPr="004664FE">
        <w:rPr>
          <w:rFonts w:ascii="Times New Roman" w:hAnsi="Times New Roman" w:cs="Times New Roman"/>
          <w:sz w:val="24"/>
          <w:szCs w:val="24"/>
        </w:rPr>
        <w:t>shows</w:t>
      </w:r>
      <w:r w:rsidR="00EB0F72" w:rsidRPr="004664FE">
        <w:rPr>
          <w:rFonts w:ascii="Times New Roman" w:hAnsi="Times New Roman" w:cs="Times New Roman"/>
          <w:sz w:val="24"/>
          <w:szCs w:val="24"/>
        </w:rPr>
        <w:t xml:space="preserve"> that firms with superior explorative capabilities achieve higher firm value (Sarkees, </w:t>
      </w:r>
      <w:r w:rsidR="00EB0F72" w:rsidRPr="004664FE">
        <w:rPr>
          <w:rFonts w:ascii="Times New Roman" w:hAnsi="Times New Roman" w:cs="Times New Roman"/>
          <w:color w:val="222222"/>
          <w:sz w:val="24"/>
          <w:szCs w:val="24"/>
          <w:shd w:val="clear" w:color="auto" w:fill="FFFFFF"/>
        </w:rPr>
        <w:t xml:space="preserve">Hulland &amp; Chatterjee, </w:t>
      </w:r>
      <w:r w:rsidRPr="004664FE">
        <w:rPr>
          <w:rFonts w:ascii="Times New Roman" w:hAnsi="Times New Roman" w:cs="Times New Roman"/>
          <w:sz w:val="24"/>
          <w:szCs w:val="24"/>
        </w:rPr>
        <w:t xml:space="preserve">2014), which in this case applies to younger firms that possess less rigidities and path dependence than older firms. </w:t>
      </w:r>
    </w:p>
    <w:bookmarkEnd w:id="9"/>
    <w:p w14:paraId="693D2C7C" w14:textId="1183631B" w:rsidR="008048FB" w:rsidRPr="004664FE" w:rsidRDefault="008968D6" w:rsidP="00933AC5">
      <w:pPr>
        <w:spacing w:after="0" w:line="480" w:lineRule="auto"/>
        <w:ind w:firstLine="708"/>
        <w:jc w:val="both"/>
        <w:rPr>
          <w:rFonts w:ascii="Times New Roman" w:hAnsi="Times New Roman" w:cs="Times New Roman"/>
          <w:iCs/>
          <w:sz w:val="24"/>
          <w:szCs w:val="24"/>
        </w:rPr>
      </w:pPr>
      <w:r w:rsidRPr="004664FE">
        <w:rPr>
          <w:rFonts w:ascii="Times New Roman" w:hAnsi="Times New Roman" w:cs="Times New Roman"/>
          <w:iCs/>
          <w:sz w:val="24"/>
          <w:szCs w:val="24"/>
        </w:rPr>
        <w:t xml:space="preserve">Although the evidence is mixed, we propose that as firms mature, their ability to capitalize from developing environmental innovations to improve financial performance will be lower than that of younger firms. Thus, although increasing levels of environmental innovation can be positive for both younger and more mature firms, we expect that overemphasis of these type of innovations will bring more negative financial consequences for more mature firms than for younger firms, particularly with high levels of environmental innovation. Certainly, older firms can take advantage of more resources and previous learning to understand the multidimensionality of green technologies (Carrillo-Hermosilla, Del Río &amp; Könnölä, 2010), but these firms will be more likely to follow past routines and fall into competency traps (Leonard-Barton, 1992), </w:t>
      </w:r>
      <w:r w:rsidRPr="004664FE">
        <w:rPr>
          <w:rFonts w:ascii="Times New Roman" w:eastAsia="Calibri" w:hAnsi="Times New Roman" w:cs="Times New Roman"/>
          <w:iCs/>
          <w:sz w:val="24"/>
          <w:szCs w:val="24"/>
        </w:rPr>
        <w:t>which</w:t>
      </w:r>
      <w:r w:rsidRPr="004664FE">
        <w:rPr>
          <w:rFonts w:ascii="Times New Roman" w:hAnsi="Times New Roman" w:cs="Times New Roman"/>
          <w:iCs/>
          <w:sz w:val="24"/>
          <w:szCs w:val="24"/>
        </w:rPr>
        <w:t xml:space="preserve"> discourages them from pursuing new green </w:t>
      </w:r>
      <w:r w:rsidRPr="004664FE">
        <w:rPr>
          <w:rFonts w:ascii="Times New Roman" w:hAnsi="Times New Roman" w:cs="Times New Roman"/>
          <w:iCs/>
          <w:sz w:val="24"/>
          <w:szCs w:val="24"/>
        </w:rPr>
        <w:lastRenderedPageBreak/>
        <w:t xml:space="preserve">innovations to open up radical and profitable opportunities. Further, more mature firms use less up-to-date green equipment and technologies that they are usually unwilling to upgrade due to the risks and costs involved (Balasubramanian et al., 2020; Darnall, Henriques &amp; Sadorsky, 2010). Thus, the literature has pointed out that younger firms are typically more flexible in capitalizing on novel knowledge for innovation (Petruzzelli et al., 2018), such as that behind the technologies involved in environmental innovations. Therefore, we contend that green product innovations may be more relevant to </w:t>
      </w:r>
      <w:r w:rsidRPr="004664FE">
        <w:rPr>
          <w:rFonts w:ascii="Times New Roman" w:eastAsia="Calibri" w:hAnsi="Times New Roman" w:cs="Times New Roman"/>
          <w:iCs/>
          <w:sz w:val="24"/>
          <w:szCs w:val="24"/>
        </w:rPr>
        <w:t>increasing</w:t>
      </w:r>
      <w:r w:rsidRPr="004664FE">
        <w:rPr>
          <w:rFonts w:ascii="Times New Roman" w:hAnsi="Times New Roman" w:cs="Times New Roman"/>
          <w:iCs/>
          <w:sz w:val="24"/>
          <w:szCs w:val="24"/>
        </w:rPr>
        <w:t xml:space="preserve"> firm performance in younger firms than in more mature companies (Shrivastava &amp; Tamvada, 2019), with the latter also experiencing more pronounced falls in firm performance at high levels of environmental innovation. Thus, we hypothesize </w:t>
      </w:r>
      <w:r w:rsidRPr="004664FE">
        <w:rPr>
          <w:rFonts w:ascii="Times New Roman" w:eastAsia="Calibri" w:hAnsi="Times New Roman" w:cs="Times New Roman"/>
          <w:iCs/>
          <w:sz w:val="24"/>
          <w:szCs w:val="24"/>
        </w:rPr>
        <w:t>the following:</w:t>
      </w:r>
    </w:p>
    <w:p w14:paraId="1F85144A" w14:textId="0644E1A0" w:rsidR="002353DA" w:rsidRPr="004664FE" w:rsidRDefault="008968D6" w:rsidP="002353DA">
      <w:pPr>
        <w:spacing w:line="480" w:lineRule="auto"/>
        <w:ind w:firstLine="708"/>
        <w:jc w:val="both"/>
        <w:rPr>
          <w:rFonts w:ascii="Times New Roman" w:hAnsi="Times New Roman" w:cs="Times New Roman"/>
          <w:i/>
          <w:iCs/>
          <w:sz w:val="24"/>
          <w:szCs w:val="24"/>
        </w:rPr>
      </w:pPr>
      <w:r w:rsidRPr="004664FE">
        <w:rPr>
          <w:rFonts w:ascii="Times New Roman" w:hAnsi="Times New Roman" w:cs="Times New Roman"/>
          <w:i/>
          <w:iCs/>
          <w:sz w:val="24"/>
          <w:szCs w:val="24"/>
        </w:rPr>
        <w:t xml:space="preserve">H2. Firm age negatively moderates the inverted U relationship between environmental innovations and </w:t>
      </w:r>
      <w:r w:rsidRPr="004664FE">
        <w:rPr>
          <w:rFonts w:ascii="Times New Roman" w:eastAsia="Calibri" w:hAnsi="Times New Roman" w:cs="Times New Roman"/>
          <w:i/>
          <w:iCs/>
          <w:sz w:val="24"/>
          <w:szCs w:val="24"/>
        </w:rPr>
        <w:t>firm</w:t>
      </w:r>
      <w:r w:rsidRPr="004664FE">
        <w:rPr>
          <w:rFonts w:ascii="Times New Roman" w:hAnsi="Times New Roman" w:cs="Times New Roman"/>
          <w:i/>
          <w:iCs/>
          <w:sz w:val="24"/>
          <w:szCs w:val="24"/>
        </w:rPr>
        <w:t xml:space="preserve"> performance, such that younger firms will have greater performance at low levels of environmental innovation and less pronounced declining effects at high levels of environmental innovation.</w:t>
      </w:r>
    </w:p>
    <w:p w14:paraId="13B923ED" w14:textId="77777777" w:rsidR="003F4671" w:rsidRPr="004664FE" w:rsidRDefault="008968D6" w:rsidP="003F4671">
      <w:pPr>
        <w:spacing w:before="240" w:after="0" w:line="480" w:lineRule="auto"/>
        <w:jc w:val="center"/>
        <w:rPr>
          <w:rFonts w:ascii="Times New Roman" w:hAnsi="Times New Roman" w:cs="Times New Roman"/>
          <w:b/>
          <w:bCs/>
          <w:sz w:val="24"/>
          <w:szCs w:val="24"/>
        </w:rPr>
      </w:pPr>
      <w:r w:rsidRPr="004664FE">
        <w:rPr>
          <w:rFonts w:ascii="Times New Roman" w:hAnsi="Times New Roman" w:cs="Times New Roman"/>
          <w:b/>
          <w:bCs/>
          <w:sz w:val="24"/>
          <w:szCs w:val="24"/>
        </w:rPr>
        <w:t>METHODS</w:t>
      </w:r>
    </w:p>
    <w:p w14:paraId="40A3FA1D" w14:textId="77777777" w:rsidR="003F4671" w:rsidRPr="004664FE" w:rsidRDefault="008968D6" w:rsidP="003F4671">
      <w:pPr>
        <w:spacing w:after="0" w:line="480" w:lineRule="auto"/>
        <w:jc w:val="both"/>
        <w:rPr>
          <w:rFonts w:ascii="Times New Roman" w:hAnsi="Times New Roman" w:cs="Times New Roman"/>
          <w:sz w:val="24"/>
          <w:szCs w:val="24"/>
        </w:rPr>
      </w:pPr>
      <w:r w:rsidRPr="004664FE">
        <w:rPr>
          <w:rFonts w:ascii="Times New Roman" w:hAnsi="Times New Roman" w:cs="Times New Roman"/>
          <w:b/>
          <w:bCs/>
          <w:sz w:val="24"/>
          <w:szCs w:val="24"/>
        </w:rPr>
        <w:t>Sample</w:t>
      </w:r>
    </w:p>
    <w:p w14:paraId="4A272E1B" w14:textId="3EEA2698" w:rsidR="00551795" w:rsidRPr="004664FE" w:rsidRDefault="008968D6" w:rsidP="00F20ED4">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We conducted a longitudinal analysis for the period of 2006-2009 </w:t>
      </w:r>
      <w:r w:rsidR="00A23289" w:rsidRPr="004664FE">
        <w:rPr>
          <w:rFonts w:ascii="Times New Roman" w:hAnsi="Times New Roman" w:cs="Times New Roman"/>
          <w:sz w:val="24"/>
          <w:szCs w:val="24"/>
        </w:rPr>
        <w:t xml:space="preserve">with companies </w:t>
      </w:r>
      <w:r w:rsidRPr="004664FE">
        <w:rPr>
          <w:rFonts w:ascii="Times New Roman" w:hAnsi="Times New Roman" w:cs="Times New Roman"/>
          <w:sz w:val="24"/>
          <w:szCs w:val="24"/>
        </w:rPr>
        <w:t xml:space="preserve">from the </w:t>
      </w:r>
      <w:bookmarkStart w:id="10" w:name="_Hlk64570333"/>
      <w:r w:rsidR="00A23289" w:rsidRPr="004664FE">
        <w:rPr>
          <w:rFonts w:ascii="Times New Roman" w:hAnsi="Times New Roman" w:cs="Times New Roman"/>
          <w:sz w:val="24"/>
          <w:szCs w:val="24"/>
        </w:rPr>
        <w:t>e</w:t>
      </w:r>
      <w:r w:rsidRPr="004664FE">
        <w:rPr>
          <w:rFonts w:ascii="Times New Roman" w:hAnsi="Times New Roman" w:cs="Times New Roman"/>
          <w:sz w:val="24"/>
          <w:szCs w:val="24"/>
        </w:rPr>
        <w:t xml:space="preserve">lectrical </w:t>
      </w:r>
      <w:r w:rsidR="00A23289" w:rsidRPr="004664FE">
        <w:rPr>
          <w:rFonts w:ascii="Times New Roman" w:hAnsi="Times New Roman" w:cs="Times New Roman"/>
          <w:sz w:val="24"/>
          <w:szCs w:val="24"/>
        </w:rPr>
        <w:t>c</w:t>
      </w:r>
      <w:r w:rsidRPr="004664FE">
        <w:rPr>
          <w:rFonts w:ascii="Times New Roman" w:hAnsi="Times New Roman" w:cs="Times New Roman"/>
          <w:sz w:val="24"/>
          <w:szCs w:val="24"/>
        </w:rPr>
        <w:t xml:space="preserve">omponents and </w:t>
      </w:r>
      <w:r w:rsidR="00A23289" w:rsidRPr="004664FE">
        <w:rPr>
          <w:rFonts w:ascii="Times New Roman" w:hAnsi="Times New Roman" w:cs="Times New Roman"/>
          <w:sz w:val="24"/>
          <w:szCs w:val="24"/>
        </w:rPr>
        <w:t>e</w:t>
      </w:r>
      <w:r w:rsidRPr="004664FE">
        <w:rPr>
          <w:rFonts w:ascii="Times New Roman" w:hAnsi="Times New Roman" w:cs="Times New Roman"/>
          <w:sz w:val="24"/>
          <w:szCs w:val="24"/>
        </w:rPr>
        <w:t xml:space="preserve">quipment (E&amp;E) sector </w:t>
      </w:r>
      <w:bookmarkEnd w:id="10"/>
      <w:r w:rsidRPr="004664FE">
        <w:rPr>
          <w:rFonts w:ascii="Times New Roman" w:hAnsi="Times New Roman" w:cs="Times New Roman"/>
          <w:sz w:val="24"/>
          <w:szCs w:val="24"/>
        </w:rPr>
        <w:t>(numbered 6190 in the COMPUSTAT database). In our sample</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we selected companies with at least $1 million in net sales for two main reasons. First, this threshold is in line with previous works studying innovation (e.g., Peeters &amp; de la Potterie, 2006). </w:t>
      </w:r>
      <w:r w:rsidRPr="004664FE">
        <w:rPr>
          <w:rFonts w:ascii="Times New Roman" w:eastAsia="Calibri" w:hAnsi="Times New Roman" w:cs="Times New Roman"/>
          <w:sz w:val="24"/>
          <w:szCs w:val="24"/>
        </w:rPr>
        <w:t>Second</w:t>
      </w:r>
      <w:r w:rsidRPr="004664FE">
        <w:rPr>
          <w:rFonts w:ascii="Times New Roman" w:hAnsi="Times New Roman" w:cs="Times New Roman"/>
          <w:sz w:val="24"/>
          <w:szCs w:val="24"/>
        </w:rPr>
        <w:t xml:space="preserve">, we use patents as </w:t>
      </w:r>
      <w:r w:rsidRPr="004664FE">
        <w:rPr>
          <w:rFonts w:ascii="Times New Roman" w:eastAsia="Calibri" w:hAnsi="Times New Roman" w:cs="Times New Roman"/>
          <w:sz w:val="24"/>
          <w:szCs w:val="24"/>
        </w:rPr>
        <w:t xml:space="preserve">a </w:t>
      </w:r>
      <w:r w:rsidRPr="004664FE">
        <w:rPr>
          <w:rFonts w:ascii="Times New Roman" w:hAnsi="Times New Roman" w:cs="Times New Roman"/>
          <w:sz w:val="24"/>
          <w:szCs w:val="24"/>
        </w:rPr>
        <w:t xml:space="preserve">proxy </w:t>
      </w:r>
      <w:r w:rsidRPr="004664FE">
        <w:rPr>
          <w:rFonts w:ascii="Times New Roman" w:eastAsia="Calibri" w:hAnsi="Times New Roman" w:cs="Times New Roman"/>
          <w:sz w:val="24"/>
          <w:szCs w:val="24"/>
        </w:rPr>
        <w:t>for</w:t>
      </w:r>
      <w:r w:rsidR="004C485B" w:rsidRPr="004664FE">
        <w:rPr>
          <w:rFonts w:ascii="Times New Roman" w:hAnsi="Times New Roman" w:cs="Times New Roman"/>
          <w:sz w:val="24"/>
          <w:szCs w:val="24"/>
        </w:rPr>
        <w:t xml:space="preserve"> innovation. This procedure is not only congruent with a large number of innovation studies (e.g., Huang &amp; Su, 2019; Jeong &amp; Yoon, 2015), but given that filing a patent tends to be costly in terms of time and money (Somaya, 2012), companies may need a certain level of sales to bear such costs</w:t>
      </w:r>
      <w:bookmarkStart w:id="11" w:name="_Hlk65660573"/>
      <w:r w:rsidR="004C485B" w:rsidRPr="004664FE">
        <w:rPr>
          <w:rFonts w:ascii="Times New Roman" w:hAnsi="Times New Roman" w:cs="Times New Roman"/>
          <w:sz w:val="24"/>
          <w:szCs w:val="24"/>
        </w:rPr>
        <w:t xml:space="preserve">. For our sector, we selected the E&amp;E because it represents a high-competitive, highly globalized </w:t>
      </w:r>
      <w:r w:rsidR="004C485B" w:rsidRPr="004664FE">
        <w:rPr>
          <w:rFonts w:ascii="Times New Roman" w:hAnsi="Times New Roman" w:cs="Times New Roman"/>
          <w:sz w:val="24"/>
          <w:szCs w:val="24"/>
        </w:rPr>
        <w:lastRenderedPageBreak/>
        <w:t xml:space="preserve">industry in which companies compete against each other for mass production of components and equipment, which explains why this industry ranks among the top patent producers according to the Patent Cooperation Treaty (Gurry, Fink, Khan, Bergquist, Lamb Feuvre, Le, &amp; Hao, 2012). In other words, firms patent all their inventions to avoid competitors taking advantage of them, hence resulting in a “patent portfolio race” (Hall &amp; Ziedonis, 2001). This situation makes patents a very robust proxy for measuring companies’ innovations. </w:t>
      </w:r>
      <w:bookmarkStart w:id="12" w:name="_Hlk64621395"/>
      <w:r w:rsidR="00F20ED4" w:rsidRPr="004664FE">
        <w:rPr>
          <w:rFonts w:ascii="Times New Roman" w:hAnsi="Times New Roman" w:cs="Times New Roman"/>
          <w:sz w:val="24"/>
          <w:szCs w:val="24"/>
        </w:rPr>
        <w:t xml:space="preserve">Regarding the period of time used in our analysis, the timeframe selected (2006-2009) represents a relatively stable technological and economic time for the E&amp;E industry. From a technological point of view, this period spans a time well after the introduction of personal computers and before the widespread use of smartphones. From an economic point of view, this period is placed after the “.com bubble” burst in the year 2000 and before the real-estate crisis (2008-2010) that </w:t>
      </w:r>
      <w:r w:rsidR="00A23289" w:rsidRPr="004664FE">
        <w:rPr>
          <w:rFonts w:ascii="Times New Roman" w:hAnsi="Times New Roman" w:cs="Times New Roman"/>
          <w:sz w:val="24"/>
          <w:szCs w:val="24"/>
        </w:rPr>
        <w:t>developed</w:t>
      </w:r>
      <w:r w:rsidR="00F20ED4" w:rsidRPr="004664FE">
        <w:rPr>
          <w:rFonts w:ascii="Times New Roman" w:hAnsi="Times New Roman" w:cs="Times New Roman"/>
          <w:sz w:val="24"/>
          <w:szCs w:val="24"/>
        </w:rPr>
        <w:t xml:space="preserve"> into a recession of global dimension</w:t>
      </w:r>
      <w:bookmarkEnd w:id="11"/>
      <w:r w:rsidR="00F20ED4" w:rsidRPr="004664FE">
        <w:rPr>
          <w:rFonts w:ascii="Times New Roman" w:hAnsi="Times New Roman" w:cs="Times New Roman"/>
          <w:sz w:val="24"/>
          <w:szCs w:val="24"/>
        </w:rPr>
        <w:t>s</w:t>
      </w:r>
      <w:r w:rsidRPr="004664FE">
        <w:rPr>
          <w:rStyle w:val="Refdenotaalpie"/>
          <w:rFonts w:ascii="Times New Roman" w:hAnsi="Times New Roman" w:cs="Times New Roman"/>
          <w:sz w:val="24"/>
          <w:szCs w:val="24"/>
        </w:rPr>
        <w:footnoteReference w:id="2"/>
      </w:r>
      <w:r w:rsidR="00353F95" w:rsidRPr="004664FE">
        <w:rPr>
          <w:rFonts w:ascii="Times New Roman" w:hAnsi="Times New Roman" w:cs="Times New Roman"/>
          <w:sz w:val="24"/>
          <w:szCs w:val="24"/>
        </w:rPr>
        <w:t>.</w:t>
      </w:r>
    </w:p>
    <w:bookmarkEnd w:id="12"/>
    <w:p w14:paraId="52B61874" w14:textId="221F36A0" w:rsidR="003F4671" w:rsidRPr="004664FE" w:rsidRDefault="008968D6" w:rsidP="003F4671">
      <w:pPr>
        <w:spacing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We retrieved patents from the Global Patent Index (GPI) of the European Patent Office (EPO) database.</w:t>
      </w:r>
      <w:r w:rsidRPr="004664FE">
        <w:rPr>
          <w:rFonts w:ascii="Times New Roman" w:eastAsia="Calibri" w:hAnsi="Times New Roman" w:cs="Times New Roman"/>
          <w:sz w:val="24"/>
          <w:szCs w:val="24"/>
        </w:rPr>
        <w:t xml:space="preserve"> The</w:t>
      </w:r>
      <w:r w:rsidRPr="004664FE">
        <w:rPr>
          <w:rFonts w:ascii="Times New Roman" w:hAnsi="Times New Roman" w:cs="Times New Roman"/>
          <w:sz w:val="24"/>
          <w:szCs w:val="24"/>
        </w:rPr>
        <w:t xml:space="preserve"> GPI is one of the most comprehensive patent databases worldwide and contains patents from not only European companies but also companies headquartered in the U.S., </w:t>
      </w:r>
      <w:proofErr w:type="gramStart"/>
      <w:r w:rsidRPr="004664FE">
        <w:rPr>
          <w:rFonts w:ascii="Times New Roman" w:hAnsi="Times New Roman" w:cs="Times New Roman"/>
          <w:sz w:val="24"/>
          <w:szCs w:val="24"/>
        </w:rPr>
        <w:t>Japan</w:t>
      </w:r>
      <w:proofErr w:type="gramEnd"/>
      <w:r w:rsidRPr="004664FE">
        <w:rPr>
          <w:rFonts w:ascii="Times New Roman" w:hAnsi="Times New Roman" w:cs="Times New Roman"/>
          <w:sz w:val="24"/>
          <w:szCs w:val="24"/>
        </w:rPr>
        <w:t xml:space="preserve"> and South Korea, among others (GPI 2009, User Manual). Furthermore, given the highly international nature of our industry (Electrical Components and Equipment), we ensured a globally representative sample. With respect to the selection of environmental patents, the EPO database recently created a specific category for delimitating the patents that can be considered environmental from those without enough environmental </w:t>
      </w:r>
      <w:r w:rsidRPr="004664FE">
        <w:rPr>
          <w:rFonts w:ascii="Times New Roman" w:eastAsia="Calibri" w:hAnsi="Times New Roman" w:cs="Times New Roman"/>
          <w:sz w:val="24"/>
          <w:szCs w:val="24"/>
        </w:rPr>
        <w:t>progress</w:t>
      </w:r>
      <w:r w:rsidRPr="004664FE">
        <w:rPr>
          <w:rFonts w:ascii="Times New Roman" w:hAnsi="Times New Roman" w:cs="Times New Roman"/>
          <w:sz w:val="24"/>
          <w:szCs w:val="24"/>
        </w:rPr>
        <w:t xml:space="preserve">, a procedure that is much more precise and reliable than abstract-based keyword analyses (e.g., Lee, Veloso, and Hounshell, 2011). After applying these criteria, and given that COMPUSTAT did not contain complete information for all companies, our final sample resulted </w:t>
      </w:r>
      <w:r w:rsidRPr="004664FE">
        <w:rPr>
          <w:rFonts w:ascii="Times New Roman" w:eastAsia="Calibri" w:hAnsi="Times New Roman" w:cs="Times New Roman"/>
          <w:sz w:val="24"/>
          <w:szCs w:val="24"/>
        </w:rPr>
        <w:t>in</w:t>
      </w:r>
      <w:r w:rsidRPr="004664FE">
        <w:rPr>
          <w:rFonts w:ascii="Times New Roman" w:hAnsi="Times New Roman" w:cs="Times New Roman"/>
          <w:sz w:val="24"/>
          <w:szCs w:val="24"/>
        </w:rPr>
        <w:t xml:space="preserve"> 4,634 environmental </w:t>
      </w:r>
      <w:r w:rsidRPr="004664FE">
        <w:rPr>
          <w:rFonts w:ascii="Times New Roman" w:hAnsi="Times New Roman" w:cs="Times New Roman"/>
          <w:sz w:val="24"/>
          <w:szCs w:val="24"/>
        </w:rPr>
        <w:lastRenderedPageBreak/>
        <w:t xml:space="preserve">patents from 75 companies during the period 2006-2009, resulting </w:t>
      </w:r>
      <w:r w:rsidRPr="004664FE">
        <w:rPr>
          <w:rFonts w:ascii="Times New Roman" w:eastAsia="Calibri" w:hAnsi="Times New Roman" w:cs="Times New Roman"/>
          <w:sz w:val="24"/>
          <w:szCs w:val="24"/>
        </w:rPr>
        <w:t>in</w:t>
      </w:r>
      <w:r w:rsidRPr="004664FE">
        <w:rPr>
          <w:rFonts w:ascii="Times New Roman" w:hAnsi="Times New Roman" w:cs="Times New Roman"/>
          <w:sz w:val="24"/>
          <w:szCs w:val="24"/>
        </w:rPr>
        <w:t xml:space="preserve"> 232 firm-year observations (additional information is displayed in Table 1).</w:t>
      </w:r>
    </w:p>
    <w:p w14:paraId="2ED4FBC6" w14:textId="77777777" w:rsidR="003F4671" w:rsidRPr="004664FE" w:rsidRDefault="008968D6" w:rsidP="003F4671">
      <w:pPr>
        <w:spacing w:after="0" w:line="480" w:lineRule="auto"/>
        <w:jc w:val="both"/>
        <w:rPr>
          <w:rFonts w:ascii="Times New Roman" w:hAnsi="Times New Roman" w:cs="Times New Roman"/>
          <w:sz w:val="24"/>
          <w:szCs w:val="24"/>
        </w:rPr>
      </w:pPr>
      <w:r w:rsidRPr="004664FE">
        <w:rPr>
          <w:rFonts w:ascii="Times New Roman" w:hAnsi="Times New Roman" w:cs="Times New Roman"/>
          <w:b/>
          <w:bCs/>
          <w:sz w:val="24"/>
          <w:szCs w:val="24"/>
        </w:rPr>
        <w:t>Measures</w:t>
      </w:r>
    </w:p>
    <w:p w14:paraId="12259D06" w14:textId="5A270B2C" w:rsidR="005D0375" w:rsidRPr="004664FE" w:rsidRDefault="008968D6" w:rsidP="00800EA3">
      <w:pPr>
        <w:spacing w:after="0" w:line="480" w:lineRule="auto"/>
        <w:jc w:val="both"/>
        <w:rPr>
          <w:rFonts w:ascii="Times New Roman" w:hAnsi="Times New Roman" w:cs="Times New Roman"/>
          <w:sz w:val="24"/>
          <w:szCs w:val="24"/>
        </w:rPr>
      </w:pPr>
      <w:r w:rsidRPr="004664FE">
        <w:rPr>
          <w:rFonts w:ascii="Times New Roman" w:hAnsi="Times New Roman" w:cs="Times New Roman"/>
          <w:sz w:val="24"/>
          <w:szCs w:val="24"/>
        </w:rPr>
        <w:t>Our work is based on the following estimation equation (control variables omitted):</w:t>
      </w:r>
    </w:p>
    <w:p w14:paraId="6A868DD6" w14:textId="6B5CB280" w:rsidR="00800EA3" w:rsidRPr="004664FE" w:rsidRDefault="008968D6" w:rsidP="00800EA3">
      <w:pPr>
        <w:spacing w:after="0" w:line="480" w:lineRule="auto"/>
        <w:jc w:val="center"/>
        <w:rPr>
          <w:rFonts w:ascii="Times New Roman" w:hAnsi="Times New Roman" w:cs="Times New Roman"/>
          <w:b/>
          <w:bCs/>
          <w:sz w:val="24"/>
          <w:szCs w:val="24"/>
        </w:rPr>
      </w:pPr>
      <w:r w:rsidRPr="004664FE">
        <w:rPr>
          <w:rFonts w:ascii="Times New Roman" w:hAnsi="Times New Roman" w:cs="Times New Roman"/>
          <w:b/>
          <w:bCs/>
          <w:sz w:val="24"/>
          <w:szCs w:val="24"/>
        </w:rPr>
        <w:t>Firm performance = β</w:t>
      </w:r>
      <w:r w:rsidRPr="004664FE">
        <w:rPr>
          <w:rFonts w:ascii="Times New Roman" w:hAnsi="Times New Roman" w:cs="Times New Roman"/>
          <w:b/>
          <w:bCs/>
          <w:sz w:val="24"/>
          <w:szCs w:val="24"/>
          <w:vertAlign w:val="subscript"/>
        </w:rPr>
        <w:t>0</w:t>
      </w:r>
      <w:r w:rsidRPr="004664FE">
        <w:rPr>
          <w:rFonts w:ascii="Times New Roman" w:hAnsi="Times New Roman" w:cs="Times New Roman"/>
          <w:b/>
          <w:bCs/>
          <w:sz w:val="24"/>
          <w:szCs w:val="24"/>
        </w:rPr>
        <w:t xml:space="preserve"> + β</w:t>
      </w:r>
      <w:r w:rsidRPr="004664FE">
        <w:rPr>
          <w:rFonts w:ascii="Times New Roman" w:hAnsi="Times New Roman" w:cs="Times New Roman"/>
          <w:b/>
          <w:bCs/>
          <w:sz w:val="24"/>
          <w:szCs w:val="24"/>
          <w:vertAlign w:val="subscript"/>
        </w:rPr>
        <w:t>1</w:t>
      </w:r>
      <w:r w:rsidRPr="004664FE">
        <w:rPr>
          <w:rFonts w:ascii="Times New Roman" w:hAnsi="Times New Roman" w:cs="Times New Roman"/>
          <w:b/>
          <w:bCs/>
          <w:sz w:val="24"/>
          <w:szCs w:val="24"/>
        </w:rPr>
        <w:t>X</w:t>
      </w:r>
      <w:r w:rsidRPr="004664FE">
        <w:rPr>
          <w:rFonts w:ascii="Times New Roman" w:hAnsi="Times New Roman" w:cs="Times New Roman"/>
          <w:b/>
          <w:bCs/>
          <w:sz w:val="24"/>
          <w:szCs w:val="24"/>
          <w:vertAlign w:val="subscript"/>
        </w:rPr>
        <w:t>1</w:t>
      </w:r>
      <w:r w:rsidRPr="004664FE">
        <w:rPr>
          <w:rFonts w:ascii="Times New Roman" w:hAnsi="Times New Roman" w:cs="Times New Roman"/>
          <w:b/>
          <w:bCs/>
          <w:sz w:val="24"/>
          <w:szCs w:val="24"/>
        </w:rPr>
        <w:t xml:space="preserve"> + β</w:t>
      </w:r>
      <w:r w:rsidRPr="004664FE">
        <w:rPr>
          <w:rFonts w:ascii="Times New Roman" w:hAnsi="Times New Roman" w:cs="Times New Roman"/>
          <w:b/>
          <w:bCs/>
          <w:sz w:val="24"/>
          <w:szCs w:val="24"/>
          <w:vertAlign w:val="subscript"/>
        </w:rPr>
        <w:t>2</w:t>
      </w:r>
      <w:r w:rsidRPr="004664FE">
        <w:rPr>
          <w:rFonts w:ascii="Times New Roman" w:hAnsi="Times New Roman" w:cs="Times New Roman"/>
          <w:b/>
          <w:bCs/>
          <w:sz w:val="24"/>
          <w:szCs w:val="24"/>
        </w:rPr>
        <w:t>X</w:t>
      </w:r>
      <w:r w:rsidRPr="004664FE">
        <w:rPr>
          <w:rFonts w:ascii="Times New Roman" w:hAnsi="Times New Roman" w:cs="Times New Roman"/>
          <w:b/>
          <w:bCs/>
          <w:sz w:val="24"/>
          <w:szCs w:val="24"/>
          <w:vertAlign w:val="subscript"/>
        </w:rPr>
        <w:t>1</w:t>
      </w:r>
      <w:r w:rsidRPr="004664FE">
        <w:rPr>
          <w:rFonts w:ascii="Times New Roman" w:hAnsi="Times New Roman" w:cs="Times New Roman"/>
          <w:b/>
          <w:bCs/>
          <w:sz w:val="24"/>
          <w:szCs w:val="24"/>
          <w:vertAlign w:val="superscript"/>
        </w:rPr>
        <w:t>2</w:t>
      </w:r>
      <w:r w:rsidRPr="004664FE">
        <w:rPr>
          <w:rFonts w:ascii="Times New Roman" w:hAnsi="Times New Roman" w:cs="Times New Roman"/>
          <w:b/>
          <w:bCs/>
          <w:sz w:val="24"/>
          <w:szCs w:val="24"/>
        </w:rPr>
        <w:t xml:space="preserve"> + β</w:t>
      </w:r>
      <w:r w:rsidRPr="004664FE">
        <w:rPr>
          <w:rFonts w:ascii="Times New Roman" w:hAnsi="Times New Roman" w:cs="Times New Roman"/>
          <w:b/>
          <w:bCs/>
          <w:sz w:val="24"/>
          <w:szCs w:val="24"/>
          <w:vertAlign w:val="subscript"/>
        </w:rPr>
        <w:t>3</w:t>
      </w:r>
      <w:r w:rsidRPr="004664FE">
        <w:rPr>
          <w:rFonts w:ascii="Times New Roman" w:hAnsi="Times New Roman" w:cs="Times New Roman"/>
          <w:b/>
          <w:bCs/>
          <w:sz w:val="24"/>
          <w:szCs w:val="24"/>
        </w:rPr>
        <w:t>X</w:t>
      </w:r>
      <w:r w:rsidRPr="004664FE">
        <w:rPr>
          <w:rFonts w:ascii="Times New Roman" w:hAnsi="Times New Roman" w:cs="Times New Roman"/>
          <w:b/>
          <w:bCs/>
          <w:sz w:val="24"/>
          <w:szCs w:val="24"/>
          <w:vertAlign w:val="subscript"/>
        </w:rPr>
        <w:t>2</w:t>
      </w:r>
      <w:r w:rsidRPr="004664FE">
        <w:rPr>
          <w:rFonts w:ascii="Times New Roman" w:hAnsi="Times New Roman" w:cs="Times New Roman"/>
          <w:b/>
          <w:bCs/>
          <w:sz w:val="24"/>
          <w:szCs w:val="24"/>
        </w:rPr>
        <w:t xml:space="preserve"> + β</w:t>
      </w:r>
      <w:r w:rsidRPr="004664FE">
        <w:rPr>
          <w:rFonts w:ascii="Times New Roman" w:hAnsi="Times New Roman" w:cs="Times New Roman"/>
          <w:b/>
          <w:bCs/>
          <w:sz w:val="24"/>
          <w:szCs w:val="24"/>
          <w:vertAlign w:val="subscript"/>
        </w:rPr>
        <w:t>4</w:t>
      </w:r>
      <w:r w:rsidRPr="004664FE">
        <w:rPr>
          <w:rFonts w:ascii="Times New Roman" w:hAnsi="Times New Roman" w:cs="Times New Roman"/>
          <w:b/>
          <w:bCs/>
          <w:sz w:val="24"/>
          <w:szCs w:val="24"/>
        </w:rPr>
        <w:t>X</w:t>
      </w:r>
      <w:r w:rsidRPr="004664FE">
        <w:rPr>
          <w:rFonts w:ascii="Times New Roman" w:hAnsi="Times New Roman" w:cs="Times New Roman"/>
          <w:b/>
          <w:bCs/>
          <w:sz w:val="24"/>
          <w:szCs w:val="24"/>
          <w:vertAlign w:val="subscript"/>
        </w:rPr>
        <w:t>1</w:t>
      </w:r>
      <w:r w:rsidRPr="004664FE">
        <w:rPr>
          <w:rFonts w:ascii="Times New Roman" w:hAnsi="Times New Roman" w:cs="Times New Roman"/>
          <w:b/>
          <w:bCs/>
          <w:sz w:val="24"/>
          <w:szCs w:val="24"/>
        </w:rPr>
        <w:t>X</w:t>
      </w:r>
      <w:r w:rsidRPr="004664FE">
        <w:rPr>
          <w:rFonts w:ascii="Times New Roman" w:hAnsi="Times New Roman" w:cs="Times New Roman"/>
          <w:b/>
          <w:bCs/>
          <w:sz w:val="24"/>
          <w:szCs w:val="24"/>
          <w:vertAlign w:val="subscript"/>
        </w:rPr>
        <w:t>2</w:t>
      </w:r>
      <w:r w:rsidRPr="004664FE">
        <w:rPr>
          <w:rFonts w:ascii="Times New Roman" w:hAnsi="Times New Roman" w:cs="Times New Roman"/>
          <w:b/>
          <w:bCs/>
          <w:sz w:val="24"/>
          <w:szCs w:val="24"/>
        </w:rPr>
        <w:t xml:space="preserve"> + β</w:t>
      </w:r>
      <w:r w:rsidRPr="004664FE">
        <w:rPr>
          <w:rFonts w:ascii="Times New Roman" w:hAnsi="Times New Roman" w:cs="Times New Roman"/>
          <w:b/>
          <w:bCs/>
          <w:sz w:val="24"/>
          <w:szCs w:val="24"/>
          <w:vertAlign w:val="subscript"/>
        </w:rPr>
        <w:t>5</w:t>
      </w:r>
      <w:r w:rsidRPr="004664FE">
        <w:rPr>
          <w:rFonts w:ascii="Times New Roman" w:hAnsi="Times New Roman" w:cs="Times New Roman"/>
          <w:b/>
          <w:bCs/>
          <w:sz w:val="24"/>
          <w:szCs w:val="24"/>
        </w:rPr>
        <w:t xml:space="preserve"> X</w:t>
      </w:r>
      <w:r w:rsidRPr="004664FE">
        <w:rPr>
          <w:rFonts w:ascii="Times New Roman" w:hAnsi="Times New Roman" w:cs="Times New Roman"/>
          <w:b/>
          <w:bCs/>
          <w:sz w:val="24"/>
          <w:szCs w:val="24"/>
          <w:vertAlign w:val="subscript"/>
        </w:rPr>
        <w:t>1</w:t>
      </w:r>
      <w:r w:rsidRPr="004664FE">
        <w:rPr>
          <w:rFonts w:ascii="Times New Roman" w:hAnsi="Times New Roman" w:cs="Times New Roman"/>
          <w:b/>
          <w:bCs/>
          <w:sz w:val="24"/>
          <w:szCs w:val="24"/>
          <w:vertAlign w:val="superscript"/>
        </w:rPr>
        <w:t>2</w:t>
      </w:r>
      <w:r w:rsidRPr="004664FE">
        <w:rPr>
          <w:rFonts w:ascii="Times New Roman" w:hAnsi="Times New Roman" w:cs="Times New Roman"/>
          <w:b/>
          <w:bCs/>
          <w:sz w:val="24"/>
          <w:szCs w:val="24"/>
        </w:rPr>
        <w:t>X</w:t>
      </w:r>
      <w:r w:rsidRPr="004664FE">
        <w:rPr>
          <w:rFonts w:ascii="Times New Roman" w:hAnsi="Times New Roman" w:cs="Times New Roman"/>
          <w:b/>
          <w:bCs/>
          <w:sz w:val="24"/>
          <w:szCs w:val="24"/>
          <w:vertAlign w:val="subscript"/>
        </w:rPr>
        <w:t>2</w:t>
      </w:r>
      <w:r w:rsidRPr="004664FE">
        <w:rPr>
          <w:rFonts w:ascii="Times New Roman" w:hAnsi="Times New Roman" w:cs="Times New Roman"/>
          <w:b/>
          <w:bCs/>
          <w:sz w:val="24"/>
          <w:szCs w:val="24"/>
        </w:rPr>
        <w:t xml:space="preserve"> + ε</w:t>
      </w:r>
    </w:p>
    <w:p w14:paraId="00C9FEB8" w14:textId="55D1296E" w:rsidR="005D0375" w:rsidRPr="004664FE" w:rsidRDefault="008968D6" w:rsidP="00800EA3">
      <w:pPr>
        <w:spacing w:after="0" w:line="480" w:lineRule="auto"/>
        <w:jc w:val="both"/>
        <w:rPr>
          <w:rFonts w:ascii="Times New Roman" w:hAnsi="Times New Roman" w:cs="Times New Roman"/>
          <w:sz w:val="24"/>
          <w:szCs w:val="24"/>
        </w:rPr>
      </w:pPr>
      <w:r w:rsidRPr="004664FE">
        <w:rPr>
          <w:rFonts w:ascii="Times New Roman" w:hAnsi="Times New Roman" w:cs="Times New Roman"/>
          <w:sz w:val="24"/>
          <w:szCs w:val="24"/>
        </w:rPr>
        <w:t>where X</w:t>
      </w:r>
      <w:r w:rsidRPr="004664FE">
        <w:rPr>
          <w:rFonts w:ascii="Times New Roman" w:hAnsi="Times New Roman" w:cs="Times New Roman"/>
          <w:sz w:val="24"/>
          <w:szCs w:val="24"/>
          <w:vertAlign w:val="subscript"/>
        </w:rPr>
        <w:t>1</w:t>
      </w:r>
      <w:r w:rsidRPr="004664FE">
        <w:rPr>
          <w:rFonts w:ascii="Times New Roman" w:hAnsi="Times New Roman" w:cs="Times New Roman"/>
          <w:sz w:val="24"/>
          <w:szCs w:val="24"/>
        </w:rPr>
        <w:t xml:space="preserve"> represents a firm’s environmental innovation and X</w:t>
      </w:r>
      <w:r w:rsidRPr="004664FE">
        <w:rPr>
          <w:rFonts w:ascii="Times New Roman" w:hAnsi="Times New Roman" w:cs="Times New Roman"/>
          <w:sz w:val="24"/>
          <w:szCs w:val="24"/>
          <w:vertAlign w:val="subscript"/>
        </w:rPr>
        <w:t>2</w:t>
      </w:r>
      <w:r w:rsidRPr="004664FE">
        <w:rPr>
          <w:rFonts w:ascii="Times New Roman" w:hAnsi="Times New Roman" w:cs="Times New Roman"/>
          <w:sz w:val="24"/>
          <w:szCs w:val="24"/>
        </w:rPr>
        <w:t xml:space="preserve"> represents the firm age.</w:t>
      </w:r>
    </w:p>
    <w:p w14:paraId="3BCBA868" w14:textId="17DC7D92" w:rsidR="003F4671" w:rsidRPr="004664FE" w:rsidRDefault="008968D6" w:rsidP="00800EA3">
      <w:pPr>
        <w:spacing w:after="0" w:line="480" w:lineRule="auto"/>
        <w:jc w:val="both"/>
        <w:rPr>
          <w:rFonts w:ascii="Times New Roman" w:hAnsi="Times New Roman" w:cs="Times New Roman"/>
          <w:sz w:val="24"/>
          <w:szCs w:val="24"/>
        </w:rPr>
      </w:pPr>
      <w:r w:rsidRPr="004664FE">
        <w:rPr>
          <w:rFonts w:ascii="Times New Roman" w:hAnsi="Times New Roman" w:cs="Times New Roman"/>
          <w:i/>
          <w:iCs/>
          <w:sz w:val="24"/>
          <w:szCs w:val="24"/>
        </w:rPr>
        <w:t>Dependent variable</w:t>
      </w:r>
      <w:r w:rsidRPr="004664FE">
        <w:rPr>
          <w:rFonts w:ascii="Times New Roman" w:hAnsi="Times New Roman" w:cs="Times New Roman"/>
          <w:sz w:val="24"/>
          <w:szCs w:val="24"/>
        </w:rPr>
        <w:t>.</w:t>
      </w:r>
    </w:p>
    <w:p w14:paraId="016FF97B" w14:textId="7DF8A0A1" w:rsidR="0052027A" w:rsidRPr="004664FE" w:rsidRDefault="008968D6" w:rsidP="0015403C">
      <w:pPr>
        <w:spacing w:line="480" w:lineRule="auto"/>
        <w:jc w:val="both"/>
        <w:rPr>
          <w:rFonts w:ascii="Times New Roman" w:hAnsi="Times New Roman" w:cs="Times New Roman"/>
          <w:sz w:val="24"/>
          <w:szCs w:val="24"/>
        </w:rPr>
      </w:pPr>
      <w:r w:rsidRPr="004664FE">
        <w:rPr>
          <w:rFonts w:ascii="Times New Roman" w:hAnsi="Times New Roman" w:cs="Times New Roman"/>
          <w:i/>
          <w:iCs/>
          <w:sz w:val="24"/>
          <w:szCs w:val="24"/>
        </w:rPr>
        <w:t>Firm’s performance</w:t>
      </w:r>
      <w:r w:rsidRPr="004664FE">
        <w:rPr>
          <w:rFonts w:ascii="Times New Roman" w:hAnsi="Times New Roman" w:cs="Times New Roman"/>
          <w:sz w:val="24"/>
          <w:szCs w:val="24"/>
        </w:rPr>
        <w:t>. In line with previous studies (</w:t>
      </w:r>
      <w:bookmarkStart w:id="13" w:name="_Hlk65612189"/>
      <w:r w:rsidR="00CD4612" w:rsidRPr="004664FE">
        <w:rPr>
          <w:rFonts w:ascii="Times New Roman" w:hAnsi="Times New Roman" w:cs="Times New Roman"/>
          <w:sz w:val="24"/>
          <w:szCs w:val="24"/>
        </w:rPr>
        <w:t xml:space="preserve">Doidge, </w:t>
      </w:r>
      <w:r w:rsidR="00CD4612" w:rsidRPr="004664FE">
        <w:rPr>
          <w:rFonts w:ascii="Times New Roman" w:hAnsi="Times New Roman" w:cs="Times New Roman"/>
          <w:color w:val="1C1D1E"/>
          <w:sz w:val="24"/>
          <w:szCs w:val="24"/>
          <w:shd w:val="clear" w:color="auto" w:fill="FFFFFF"/>
        </w:rPr>
        <w:t>Karolyi, &amp; Stulz,</w:t>
      </w:r>
      <w:r w:rsidR="00CD4612" w:rsidRPr="004664FE">
        <w:rPr>
          <w:rFonts w:ascii="Times New Roman" w:hAnsi="Times New Roman"/>
          <w:color w:val="1C1D1E"/>
          <w:sz w:val="24"/>
          <w:shd w:val="clear" w:color="auto" w:fill="FFFFFF"/>
        </w:rPr>
        <w:t xml:space="preserve"> </w:t>
      </w:r>
      <w:r w:rsidRPr="004664FE">
        <w:rPr>
          <w:rFonts w:ascii="Times New Roman" w:hAnsi="Times New Roman" w:cs="Times New Roman"/>
          <w:sz w:val="24"/>
          <w:szCs w:val="24"/>
        </w:rPr>
        <w:t>2004</w:t>
      </w:r>
      <w:bookmarkEnd w:id="13"/>
      <w:r w:rsidRPr="004664FE">
        <w:rPr>
          <w:rFonts w:ascii="Times New Roman" w:hAnsi="Times New Roman" w:cs="Times New Roman"/>
          <w:sz w:val="24"/>
          <w:szCs w:val="24"/>
        </w:rPr>
        <w:t>; Loderer, Stulz &amp; Waelchli, 2016)</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we employ Tobin’s Q for assessing market-based firm performance. Tobin’s Q is defined as the ratio between the firm’s market value and the replacement cost of its assets. </w:t>
      </w:r>
      <w:bookmarkStart w:id="14" w:name="_Hlk64931126"/>
      <w:r w:rsidR="00862948" w:rsidRPr="004664FE">
        <w:rPr>
          <w:rFonts w:ascii="Times New Roman" w:hAnsi="Times New Roman" w:cs="Times New Roman"/>
          <w:sz w:val="24"/>
          <w:szCs w:val="24"/>
        </w:rPr>
        <w:t xml:space="preserve">This variable is especially appropriate for measuring firm performance, as it presents some advantages, including that a) it exhibits scale independence and robustness in relation to accounting manipulations (Ernst, 2001; Jayachandran, Kalaignanam &amp; Eilert, 2013); b) in comparison with ROA, ROE, and other profitability measures, Tobin's Q is perceived as a better indicator of corporate performance and value, given that it reflects the future development expectations of the firm (Li, Liao &amp; Albitar, 2020); and c) it accounts for intangible assets, which are an important component for technological companies, as the replacement cost of such intangibles tends to be much higher than the mere cost of tangible assets (Somaya, 2012; Varaiya, Kerin &amp; Weeks, 1987). </w:t>
      </w:r>
      <w:bookmarkEnd w:id="14"/>
      <w:r w:rsidR="0015403C" w:rsidRPr="004664FE">
        <w:rPr>
          <w:rFonts w:ascii="Times New Roman" w:hAnsi="Times New Roman" w:cs="Times New Roman"/>
          <w:sz w:val="24"/>
          <w:szCs w:val="24"/>
        </w:rPr>
        <w:t xml:space="preserve">The fact that Tobin’s Q accounts for intangible assets and reflects the firm value has been applied in previous environmental literature to measure future firm performance (e.g., Jayachandran et al., 2013; Li et al., 2020). In this regard, Jayachandran et al.’s (2013) analysis on the relationship between corporate social performance and firm performance employs Tobin’s Q as a measure that “reflects future profitability” (p. 1259). In relation to the empirical calculation, we employ Chung &amp; Pruitt’s (1994) procedure with </w:t>
      </w:r>
      <w:r w:rsidR="0015403C" w:rsidRPr="004664FE">
        <w:rPr>
          <w:rFonts w:ascii="Times New Roman" w:eastAsia="Calibri" w:hAnsi="Times New Roman" w:cs="Times New Roman"/>
          <w:sz w:val="24"/>
          <w:szCs w:val="24"/>
        </w:rPr>
        <w:t xml:space="preserve">the </w:t>
      </w:r>
      <w:r w:rsidR="0015403C" w:rsidRPr="004664FE">
        <w:rPr>
          <w:rFonts w:ascii="Times New Roman" w:hAnsi="Times New Roman" w:cs="Times New Roman"/>
          <w:sz w:val="24"/>
          <w:szCs w:val="24"/>
        </w:rPr>
        <w:t>COMPUSTAT database.</w:t>
      </w:r>
    </w:p>
    <w:p w14:paraId="51D3AC97" w14:textId="77777777" w:rsidR="003F4671" w:rsidRPr="004664FE" w:rsidRDefault="008968D6" w:rsidP="003F4671">
      <w:pPr>
        <w:spacing w:after="0" w:line="480" w:lineRule="auto"/>
        <w:jc w:val="both"/>
        <w:rPr>
          <w:rFonts w:ascii="Times New Roman" w:hAnsi="Times New Roman" w:cs="Times New Roman"/>
          <w:sz w:val="24"/>
          <w:szCs w:val="24"/>
        </w:rPr>
      </w:pPr>
      <w:r w:rsidRPr="004664FE">
        <w:rPr>
          <w:rFonts w:ascii="Times New Roman" w:hAnsi="Times New Roman" w:cs="Times New Roman"/>
          <w:i/>
          <w:iCs/>
          <w:sz w:val="24"/>
          <w:szCs w:val="24"/>
        </w:rPr>
        <w:lastRenderedPageBreak/>
        <w:t>Independent variables</w:t>
      </w:r>
    </w:p>
    <w:p w14:paraId="04BB7169" w14:textId="2881BB76" w:rsidR="002B0E87" w:rsidRPr="004664FE" w:rsidRDefault="008968D6" w:rsidP="003F4671">
      <w:pPr>
        <w:spacing w:after="0" w:line="480" w:lineRule="auto"/>
        <w:jc w:val="both"/>
        <w:rPr>
          <w:rFonts w:ascii="Times New Roman" w:hAnsi="Times New Roman" w:cs="Times New Roman"/>
          <w:sz w:val="24"/>
          <w:szCs w:val="24"/>
        </w:rPr>
      </w:pPr>
      <w:bookmarkStart w:id="15" w:name="_Hlk65574314"/>
      <w:r w:rsidRPr="004664FE">
        <w:rPr>
          <w:rFonts w:ascii="Times New Roman" w:hAnsi="Times New Roman" w:cs="Times New Roman"/>
          <w:i/>
          <w:iCs/>
          <w:sz w:val="24"/>
          <w:szCs w:val="24"/>
        </w:rPr>
        <w:t>Firm age</w:t>
      </w:r>
      <w:r w:rsidRPr="004664FE">
        <w:rPr>
          <w:rFonts w:ascii="Times New Roman" w:hAnsi="Times New Roman" w:cs="Times New Roman"/>
          <w:sz w:val="24"/>
          <w:szCs w:val="24"/>
        </w:rPr>
        <w:t>. This variable reflects</w:t>
      </w:r>
      <w:r w:rsidRPr="004664FE">
        <w:rPr>
          <w:rFonts w:ascii="Times New Roman" w:eastAsia="Calibri" w:hAnsi="Times New Roman" w:cs="Times New Roman"/>
          <w:sz w:val="24"/>
          <w:szCs w:val="24"/>
        </w:rPr>
        <w:t xml:space="preserve"> a</w:t>
      </w:r>
      <w:r w:rsidRPr="004664FE">
        <w:rPr>
          <w:rFonts w:ascii="Times New Roman" w:hAnsi="Times New Roman" w:cs="Times New Roman"/>
          <w:sz w:val="24"/>
          <w:szCs w:val="24"/>
        </w:rPr>
        <w:t xml:space="preserve"> firm’s life and is calculated by the number of years since the firm’s foundation (Zheng, Singh, &amp; Mitchell, 2015) according to the data retrieved from COMPUSTAT. The role of age as a factor influencing innovation activities and firm performance has been discussed in the literature (Coad et al., 2013; Huergo and Jaumandreu, 2004). However, the results are not conclusive, as some studies suggest that firm age is positively related with a higher innovative performance (</w:t>
      </w:r>
      <w:bookmarkStart w:id="16" w:name="_Hlk65612611"/>
      <w:r w:rsidR="00680E2B" w:rsidRPr="004664FE">
        <w:rPr>
          <w:rFonts w:ascii="Times New Roman" w:hAnsi="Times New Roman" w:cs="Times New Roman"/>
          <w:sz w:val="24"/>
          <w:szCs w:val="24"/>
        </w:rPr>
        <w:t xml:space="preserve">Barasa, </w:t>
      </w:r>
      <w:r w:rsidR="00680E2B" w:rsidRPr="004664FE">
        <w:rPr>
          <w:rFonts w:ascii="Times New Roman" w:hAnsi="Times New Roman" w:cs="Times New Roman"/>
          <w:color w:val="222222"/>
          <w:sz w:val="24"/>
          <w:szCs w:val="24"/>
          <w:shd w:val="clear" w:color="auto" w:fill="FFFFFF"/>
        </w:rPr>
        <w:t>Knoben, Vermeulen, Kimuyu, &amp; Kinyanjui</w:t>
      </w:r>
      <w:r w:rsidRPr="004664FE">
        <w:rPr>
          <w:rFonts w:ascii="Times New Roman" w:hAnsi="Times New Roman" w:cs="Times New Roman"/>
          <w:sz w:val="24"/>
          <w:szCs w:val="24"/>
        </w:rPr>
        <w:t>, 2017</w:t>
      </w:r>
      <w:bookmarkEnd w:id="16"/>
      <w:r w:rsidRPr="004664FE">
        <w:rPr>
          <w:rFonts w:ascii="Times New Roman" w:hAnsi="Times New Roman" w:cs="Times New Roman"/>
          <w:sz w:val="24"/>
          <w:szCs w:val="24"/>
        </w:rPr>
        <w:t>), whereas others claim that older firms are more conservative and less likely to innovate than younger firms (Rossi, 2016). Thus, the role of firm age as a moderator affecting innovative activities and related firm performance still requires further development (Medase, 2020).</w:t>
      </w:r>
    </w:p>
    <w:bookmarkEnd w:id="15"/>
    <w:p w14:paraId="14D356A6" w14:textId="50E90C9E" w:rsidR="003F4671" w:rsidRPr="004664FE" w:rsidRDefault="008968D6" w:rsidP="003F4671">
      <w:pPr>
        <w:spacing w:line="480" w:lineRule="auto"/>
        <w:jc w:val="both"/>
        <w:rPr>
          <w:rFonts w:ascii="Times New Roman" w:hAnsi="Times New Roman" w:cs="Times New Roman"/>
          <w:sz w:val="24"/>
          <w:szCs w:val="24"/>
        </w:rPr>
      </w:pPr>
      <w:r w:rsidRPr="004664FE">
        <w:rPr>
          <w:rFonts w:ascii="Times New Roman" w:hAnsi="Times New Roman" w:cs="Times New Roman"/>
          <w:i/>
          <w:iCs/>
          <w:sz w:val="24"/>
          <w:szCs w:val="24"/>
        </w:rPr>
        <w:t>Environmental innovation</w:t>
      </w:r>
      <w:r w:rsidRPr="004664FE">
        <w:rPr>
          <w:rFonts w:ascii="Times New Roman" w:hAnsi="Times New Roman" w:cs="Times New Roman"/>
          <w:sz w:val="24"/>
          <w:szCs w:val="24"/>
        </w:rPr>
        <w:t>. After carefully reviewing our database, we noticed that a number of companies issued large quantities of both environmental and nonenvironmental patents</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hence</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taking these raw numbers as environmental propensity could lead to biased results. To avoid this issue, our variable measures the weight of environmental patents over the company’s innovative portfolio. That is, we calculate the percentage of environmental patents relative to all patents issued by the firm for each year of analysis.</w:t>
      </w:r>
    </w:p>
    <w:p w14:paraId="14F6BB00" w14:textId="77777777" w:rsidR="003F6CCD" w:rsidRPr="004664FE" w:rsidRDefault="008968D6" w:rsidP="003F6CCD">
      <w:pPr>
        <w:spacing w:after="0" w:line="480" w:lineRule="auto"/>
        <w:jc w:val="both"/>
        <w:rPr>
          <w:rFonts w:ascii="Times New Roman" w:hAnsi="Times New Roman" w:cs="Times New Roman"/>
          <w:sz w:val="24"/>
          <w:szCs w:val="24"/>
        </w:rPr>
      </w:pPr>
      <w:r w:rsidRPr="004664FE">
        <w:rPr>
          <w:rFonts w:ascii="Times New Roman" w:hAnsi="Times New Roman" w:cs="Times New Roman"/>
          <w:i/>
          <w:iCs/>
          <w:sz w:val="24"/>
          <w:szCs w:val="24"/>
        </w:rPr>
        <w:t>Control variables</w:t>
      </w:r>
    </w:p>
    <w:p w14:paraId="5870B714" w14:textId="74F057F7" w:rsidR="003F6CCD" w:rsidRPr="004664FE" w:rsidRDefault="008968D6" w:rsidP="00C62003">
      <w:pPr>
        <w:spacing w:before="240" w:line="480" w:lineRule="auto"/>
        <w:contextualSpacing/>
        <w:jc w:val="both"/>
        <w:rPr>
          <w:rFonts w:ascii="Times New Roman" w:hAnsi="Times New Roman" w:cs="Times New Roman"/>
          <w:sz w:val="24"/>
          <w:szCs w:val="24"/>
        </w:rPr>
      </w:pPr>
      <w:r w:rsidRPr="004664FE">
        <w:rPr>
          <w:rFonts w:ascii="Times New Roman" w:hAnsi="Times New Roman" w:cs="Times New Roman"/>
          <w:i/>
          <w:iCs/>
          <w:sz w:val="24"/>
          <w:szCs w:val="24"/>
        </w:rPr>
        <w:t>Firm size</w:t>
      </w:r>
      <w:r w:rsidRPr="004664FE">
        <w:rPr>
          <w:rFonts w:ascii="Times New Roman" w:hAnsi="Times New Roman" w:cs="Times New Roman"/>
          <w:sz w:val="24"/>
          <w:szCs w:val="24"/>
        </w:rPr>
        <w:t xml:space="preserve"> is measured as the company’s net sales by year (Slater &amp; Dixon-Fowler, 2009). </w:t>
      </w:r>
      <w:r w:rsidRPr="004664FE">
        <w:rPr>
          <w:rFonts w:ascii="Times New Roman" w:eastAsia="Calibri" w:hAnsi="Times New Roman" w:cs="Times New Roman"/>
          <w:sz w:val="24"/>
          <w:szCs w:val="24"/>
        </w:rPr>
        <w:t>Given</w:t>
      </w:r>
      <w:r w:rsidRPr="004664FE">
        <w:rPr>
          <w:rFonts w:ascii="Times New Roman" w:hAnsi="Times New Roman" w:cs="Times New Roman"/>
          <w:sz w:val="24"/>
          <w:szCs w:val="24"/>
        </w:rPr>
        <w:t xml:space="preserve"> that this value tends to be highly skewed, we calculated its natural logarithm. The variable </w:t>
      </w:r>
      <w:r w:rsidRPr="004664FE">
        <w:rPr>
          <w:rFonts w:ascii="Times New Roman" w:hAnsi="Times New Roman" w:cs="Times New Roman"/>
          <w:i/>
          <w:iCs/>
          <w:sz w:val="24"/>
          <w:szCs w:val="24"/>
        </w:rPr>
        <w:t>total number of patents</w:t>
      </w:r>
      <w:r w:rsidR="00C62003" w:rsidRPr="004664FE">
        <w:rPr>
          <w:rFonts w:ascii="Times New Roman" w:hAnsi="Times New Roman" w:cs="Times New Roman"/>
          <w:sz w:val="24"/>
          <w:szCs w:val="24"/>
        </w:rPr>
        <w:t xml:space="preserve"> is employed here to control for the company’s overall innovation capacity.</w:t>
      </w:r>
      <w:r w:rsidRPr="004664FE">
        <w:rPr>
          <w:rFonts w:ascii="Times New Roman" w:eastAsia="Calibri" w:hAnsi="Times New Roman" w:cs="Times New Roman"/>
          <w:sz w:val="24"/>
          <w:szCs w:val="24"/>
        </w:rPr>
        <w:t xml:space="preserve"> </w:t>
      </w:r>
      <w:r w:rsidR="00C62003" w:rsidRPr="004664FE">
        <w:rPr>
          <w:rFonts w:ascii="Times New Roman" w:hAnsi="Times New Roman" w:cs="Times New Roman"/>
          <w:sz w:val="24"/>
          <w:szCs w:val="24"/>
        </w:rPr>
        <w:t>In a similar way, we include</w:t>
      </w:r>
      <w:r w:rsidRPr="004664FE">
        <w:rPr>
          <w:rFonts w:ascii="Times New Roman" w:eastAsia="Calibri" w:hAnsi="Times New Roman" w:cs="Times New Roman"/>
          <w:sz w:val="24"/>
          <w:szCs w:val="24"/>
        </w:rPr>
        <w:t xml:space="preserve"> a</w:t>
      </w:r>
      <w:r w:rsidR="00C62003" w:rsidRPr="004664FE">
        <w:rPr>
          <w:rFonts w:ascii="Times New Roman" w:hAnsi="Times New Roman" w:cs="Times New Roman"/>
          <w:sz w:val="24"/>
          <w:szCs w:val="24"/>
        </w:rPr>
        <w:t xml:space="preserve"> firm’s </w:t>
      </w:r>
      <w:r w:rsidR="00C62003" w:rsidRPr="004664FE">
        <w:rPr>
          <w:rFonts w:ascii="Times New Roman" w:hAnsi="Times New Roman" w:cs="Times New Roman"/>
          <w:i/>
          <w:iCs/>
          <w:sz w:val="24"/>
          <w:szCs w:val="24"/>
        </w:rPr>
        <w:t>technological intensity</w:t>
      </w:r>
      <w:r w:rsidR="00DC772C" w:rsidRPr="004664FE">
        <w:rPr>
          <w:rFonts w:ascii="Times New Roman" w:hAnsi="Times New Roman" w:cs="Times New Roman"/>
          <w:sz w:val="24"/>
          <w:szCs w:val="24"/>
        </w:rPr>
        <w:t xml:space="preserve"> to measure how relevant R&amp;D investment </w:t>
      </w:r>
      <w:r w:rsidRPr="004664FE">
        <w:rPr>
          <w:rFonts w:ascii="Times New Roman" w:eastAsia="Calibri" w:hAnsi="Times New Roman" w:cs="Times New Roman"/>
          <w:sz w:val="24"/>
          <w:szCs w:val="24"/>
        </w:rPr>
        <w:t>is</w:t>
      </w:r>
      <w:r w:rsidR="00DC772C" w:rsidRPr="004664FE">
        <w:rPr>
          <w:rFonts w:ascii="Times New Roman" w:hAnsi="Times New Roman" w:cs="Times New Roman"/>
          <w:sz w:val="24"/>
          <w:szCs w:val="24"/>
        </w:rPr>
        <w:t xml:space="preserve"> to the organization’s strategy. We measure this variable by computing the ratio between R&amp;D expenditures and sales, </w:t>
      </w:r>
      <w:r w:rsidRPr="004664FE">
        <w:rPr>
          <w:rFonts w:ascii="Times New Roman" w:eastAsia="Calibri" w:hAnsi="Times New Roman" w:cs="Times New Roman"/>
          <w:sz w:val="24"/>
          <w:szCs w:val="24"/>
        </w:rPr>
        <w:t>which</w:t>
      </w:r>
      <w:r w:rsidR="00DD4BB3" w:rsidRPr="004664FE">
        <w:rPr>
          <w:rFonts w:ascii="Times New Roman" w:hAnsi="Times New Roman" w:cs="Times New Roman"/>
          <w:sz w:val="24"/>
          <w:szCs w:val="24"/>
        </w:rPr>
        <w:t xml:space="preserve"> is consistent with previous research (e.g., Delios </w:t>
      </w:r>
      <w:r w:rsidR="00DD4BB3" w:rsidRPr="004664FE">
        <w:rPr>
          <w:rFonts w:ascii="Times New Roman" w:hAnsi="Times New Roman" w:cs="Times New Roman"/>
          <w:sz w:val="24"/>
          <w:szCs w:val="24"/>
        </w:rPr>
        <w:lastRenderedPageBreak/>
        <w:t>&amp; Henisz, 2000). Additionally, we control for the variability of the intercept over time by using year-specific dummies.</w:t>
      </w:r>
    </w:p>
    <w:p w14:paraId="78F5D482" w14:textId="77777777" w:rsidR="00766EFD" w:rsidRPr="004664FE" w:rsidRDefault="008968D6" w:rsidP="00766EFD">
      <w:pPr>
        <w:spacing w:before="360" w:after="0" w:line="480" w:lineRule="auto"/>
        <w:jc w:val="center"/>
        <w:rPr>
          <w:rFonts w:ascii="Times New Roman" w:hAnsi="Times New Roman" w:cs="Times New Roman"/>
          <w:sz w:val="24"/>
          <w:szCs w:val="24"/>
        </w:rPr>
      </w:pPr>
      <w:r w:rsidRPr="004664FE">
        <w:rPr>
          <w:rFonts w:ascii="Times New Roman" w:hAnsi="Times New Roman" w:cs="Times New Roman"/>
          <w:b/>
          <w:bCs/>
          <w:sz w:val="24"/>
          <w:szCs w:val="24"/>
        </w:rPr>
        <w:t>RESULTS</w:t>
      </w:r>
    </w:p>
    <w:p w14:paraId="09E676D1" w14:textId="5D9625AE" w:rsidR="00766EFD" w:rsidRPr="004664FE" w:rsidRDefault="008968D6" w:rsidP="00A350C4">
      <w:pPr>
        <w:spacing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We run our longitudinal analysis by using the statistical software STATA. The Hausman test (Hausman, 1978) validated the use of a fixed-effects model over a random-effects </w:t>
      </w:r>
      <w:r w:rsidRPr="004664FE">
        <w:rPr>
          <w:rFonts w:ascii="Times New Roman" w:eastAsia="Calibri" w:hAnsi="Times New Roman" w:cs="Times New Roman"/>
          <w:sz w:val="24"/>
          <w:szCs w:val="24"/>
        </w:rPr>
        <w:t>model</w:t>
      </w:r>
      <w:r w:rsidRPr="004664FE">
        <w:rPr>
          <w:rFonts w:ascii="Times New Roman" w:hAnsi="Times New Roman" w:cs="Times New Roman"/>
          <w:sz w:val="24"/>
          <w:szCs w:val="24"/>
        </w:rPr>
        <w:t xml:space="preserve">. Fixed-effects models are preferred because they eliminate the unobservable variables in conventional OLS regression estimates, hence providing a more reliable estimate of parameters (Ernst, 2001). In addition, we employ robust standard errors to avoid serial correlation and heteroskedasticity, and we cluster them at </w:t>
      </w:r>
      <w:r w:rsidRPr="004664FE">
        <w:rPr>
          <w:rFonts w:ascii="Times New Roman" w:eastAsia="Calibri" w:hAnsi="Times New Roman" w:cs="Times New Roman"/>
          <w:sz w:val="24"/>
          <w:szCs w:val="24"/>
        </w:rPr>
        <w:t xml:space="preserve">the </w:t>
      </w:r>
      <w:r w:rsidRPr="004664FE">
        <w:rPr>
          <w:rFonts w:ascii="Times New Roman" w:hAnsi="Times New Roman" w:cs="Times New Roman"/>
          <w:sz w:val="24"/>
          <w:szCs w:val="24"/>
        </w:rPr>
        <w:t>firm level. With respect to the quadratic effect (hypothesis H1) and moderation analysis (hypothesis H2), we follow Cohen &amp; Cohen’s (1983) recommendations by first centering the variables so that we reduce multicollinearity problems and then generating two multiplicative indexes that are regressed as separate variables in the model.</w:t>
      </w:r>
    </w:p>
    <w:p w14:paraId="6968DF81" w14:textId="77777777" w:rsidR="00766EFD" w:rsidRPr="004664FE" w:rsidRDefault="008968D6" w:rsidP="00766EFD">
      <w:pPr>
        <w:tabs>
          <w:tab w:val="left" w:pos="284"/>
        </w:tabs>
        <w:spacing w:before="240" w:line="480" w:lineRule="auto"/>
        <w:ind w:left="2548" w:firstLine="284"/>
        <w:rPr>
          <w:rFonts w:ascii="Times New Roman" w:hAnsi="Times New Roman" w:cs="Times New Roman"/>
          <w:sz w:val="24"/>
          <w:szCs w:val="24"/>
        </w:rPr>
      </w:pPr>
      <w:r w:rsidRPr="004664FE">
        <w:rPr>
          <w:rFonts w:ascii="Times New Roman" w:hAnsi="Times New Roman" w:cs="Times New Roman"/>
          <w:noProof/>
          <w:sz w:val="24"/>
          <w:lang w:val="es-ES"/>
        </w:rPr>
        <mc:AlternateContent>
          <mc:Choice Requires="wps">
            <w:drawing>
              <wp:anchor distT="0" distB="0" distL="114300" distR="114300" simplePos="0" relativeHeight="251668480" behindDoc="0" locked="0" layoutInCell="1" allowOverlap="1" wp14:anchorId="27E593C7" wp14:editId="2D62F7B6">
                <wp:simplePos x="0" y="0"/>
                <wp:positionH relativeFrom="column">
                  <wp:posOffset>1866265</wp:posOffset>
                </wp:positionH>
                <wp:positionV relativeFrom="paragraph">
                  <wp:posOffset>232409</wp:posOffset>
                </wp:positionV>
                <wp:extent cx="1651000" cy="0"/>
                <wp:effectExtent l="0" t="0" r="25400" b="19050"/>
                <wp:wrapNone/>
                <wp:docPr id="20" name="Conector recto de flecha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ector recto de flecha 20" o:spid="_x0000_s1025" type="#_x0000_t32" style="width:130pt;height:0;margin-top:18.3pt;margin-left:146.95pt;mso-height-percent:0;mso-height-relative:page;mso-width-percent:0;mso-width-relative:page;mso-wrap-distance-bottom:0;mso-wrap-distance-left:9pt;mso-wrap-distance-right:9pt;mso-wrap-distance-top:0;mso-wrap-style:square;position:absolute;visibility:visible;z-index:251669504">
                <v:stroke dashstyle="dash"/>
              </v:shape>
            </w:pict>
          </mc:Fallback>
        </mc:AlternateContent>
      </w:r>
      <w:r w:rsidRPr="004664FE">
        <w:rPr>
          <w:rFonts w:ascii="Times New Roman" w:hAnsi="Times New Roman" w:cs="Times New Roman"/>
          <w:noProof/>
          <w:sz w:val="24"/>
          <w:lang w:val="es-ES"/>
        </w:rPr>
        <mc:AlternateContent>
          <mc:Choice Requires="wps">
            <w:drawing>
              <wp:anchor distT="0" distB="0" distL="114300" distR="114300" simplePos="0" relativeHeight="251666432" behindDoc="0" locked="0" layoutInCell="1" allowOverlap="1" wp14:anchorId="48C5C05B" wp14:editId="65714896">
                <wp:simplePos x="0" y="0"/>
                <wp:positionH relativeFrom="column">
                  <wp:posOffset>1866265</wp:posOffset>
                </wp:positionH>
                <wp:positionV relativeFrom="paragraph">
                  <wp:posOffset>-59691</wp:posOffset>
                </wp:positionV>
                <wp:extent cx="1651000" cy="0"/>
                <wp:effectExtent l="0" t="0" r="25400" b="19050"/>
                <wp:wrapNone/>
                <wp:docPr id="19" name="Conector recto de flecha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9" o:spid="_x0000_s1026" type="#_x0000_t32" style="width:130pt;height:0;margin-top:-4.7pt;margin-left:146.95pt;mso-height-percent:0;mso-height-relative:page;mso-width-percent:0;mso-width-relative:page;mso-wrap-distance-bottom:0;mso-wrap-distance-left:9pt;mso-wrap-distance-right:9pt;mso-wrap-distance-top:0;mso-wrap-style:square;position:absolute;visibility:visible;z-index:251667456">
                <v:stroke dashstyle="dash"/>
              </v:shape>
            </w:pict>
          </mc:Fallback>
        </mc:AlternateContent>
      </w:r>
      <w:r w:rsidRPr="004664FE">
        <w:rPr>
          <w:rFonts w:ascii="Times New Roman" w:hAnsi="Times New Roman" w:cs="Times New Roman"/>
          <w:sz w:val="24"/>
          <w:szCs w:val="24"/>
        </w:rPr>
        <w:t xml:space="preserve">   Insert Table 1 about </w:t>
      </w:r>
      <w:proofErr w:type="gramStart"/>
      <w:r w:rsidRPr="004664FE">
        <w:rPr>
          <w:rFonts w:ascii="Times New Roman" w:hAnsi="Times New Roman" w:cs="Times New Roman"/>
          <w:sz w:val="24"/>
          <w:szCs w:val="24"/>
        </w:rPr>
        <w:t>here</w:t>
      </w:r>
      <w:proofErr w:type="gramEnd"/>
    </w:p>
    <w:p w14:paraId="77533ED0" w14:textId="643068C3" w:rsidR="00766EFD" w:rsidRPr="004664FE" w:rsidRDefault="008968D6" w:rsidP="00020A17">
      <w:pPr>
        <w:spacing w:before="24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Table 1 includes the descriptive statistics for all the variables. The correlations do not suggest any potential for serious multicollinearity in the regression analysis, and the variance inflation factors are completely acceptable. Table 2 presents the results of the regressions. Model 1 in Table 2 presents the base model and includes the control variables when the firm’s financial performance is the dependent variable. Model 2 includes the nonquadratic term of the firm’s environmental innovation, as recommended by Aiken &amp; West (1991). More particularly, these authors stated that “including the first-order X in the regression equation is essential, as leaving it out is tantamount to assuming that the turning point is at X=0—a very strong assumption to make, a priori” (Haans, Pieters &amp; He, 2016: 1181). Model 3 adds the first hypothesized effect variable, i.e.</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the quadratic effect over environmental innovations. Model 4 </w:t>
      </w:r>
      <w:r w:rsidRPr="004664FE">
        <w:rPr>
          <w:rFonts w:ascii="Times New Roman" w:hAnsi="Times New Roman" w:cs="Times New Roman"/>
          <w:sz w:val="24"/>
          <w:szCs w:val="24"/>
        </w:rPr>
        <w:lastRenderedPageBreak/>
        <w:t>introduces the firm age as a control variable, whereas Model 5 includes the nonquadratic relationship between environmental innovation and the firm age. Model 6 adds the second hypothesized variable, i.e.</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the moderating effect of the firm age </w:t>
      </w:r>
      <w:r w:rsidRPr="004664FE">
        <w:rPr>
          <w:rFonts w:ascii="Times New Roman" w:eastAsia="Calibri" w:hAnsi="Times New Roman" w:cs="Times New Roman"/>
          <w:sz w:val="24"/>
          <w:szCs w:val="24"/>
        </w:rPr>
        <w:t>on</w:t>
      </w:r>
      <w:r w:rsidRPr="004664FE">
        <w:rPr>
          <w:rFonts w:ascii="Times New Roman" w:hAnsi="Times New Roman" w:cs="Times New Roman"/>
          <w:sz w:val="24"/>
          <w:szCs w:val="24"/>
        </w:rPr>
        <w:t xml:space="preserve"> the relationship between environmental patenting and firm performance, and closes the analysis. The R</w:t>
      </w:r>
      <w:r w:rsidRPr="004664FE">
        <w:rPr>
          <w:rFonts w:ascii="Times New Roman" w:hAnsi="Times New Roman" w:cs="Times New Roman"/>
          <w:sz w:val="24"/>
          <w:szCs w:val="24"/>
          <w:vertAlign w:val="superscript"/>
        </w:rPr>
        <w:t>2</w:t>
      </w:r>
      <w:r w:rsidRPr="004664FE">
        <w:rPr>
          <w:rFonts w:ascii="Times New Roman" w:hAnsi="Times New Roman" w:cs="Times New Roman"/>
          <w:sz w:val="24"/>
          <w:szCs w:val="24"/>
        </w:rPr>
        <w:t xml:space="preserve"> statistics indicate that every additional variable improves the model fit.</w:t>
      </w:r>
    </w:p>
    <w:p w14:paraId="4F9DA16E" w14:textId="77777777" w:rsidR="00766EFD" w:rsidRPr="004664FE" w:rsidRDefault="008968D6" w:rsidP="00766EFD">
      <w:pPr>
        <w:tabs>
          <w:tab w:val="left" w:pos="284"/>
        </w:tabs>
        <w:spacing w:before="240" w:line="480" w:lineRule="auto"/>
        <w:ind w:left="2548" w:firstLine="284"/>
        <w:rPr>
          <w:rFonts w:ascii="Times New Roman" w:hAnsi="Times New Roman" w:cs="Times New Roman"/>
          <w:sz w:val="24"/>
          <w:szCs w:val="24"/>
        </w:rPr>
      </w:pPr>
      <w:r w:rsidRPr="004664FE">
        <w:rPr>
          <w:rFonts w:ascii="Times New Roman" w:hAnsi="Times New Roman" w:cs="Times New Roman"/>
          <w:noProof/>
          <w:sz w:val="24"/>
          <w:lang w:val="es-ES"/>
        </w:rPr>
        <mc:AlternateContent>
          <mc:Choice Requires="wps">
            <w:drawing>
              <wp:anchor distT="0" distB="0" distL="114300" distR="114300" simplePos="0" relativeHeight="251672576" behindDoc="0" locked="0" layoutInCell="1" allowOverlap="1" wp14:anchorId="45FA810D" wp14:editId="3635B267">
                <wp:simplePos x="0" y="0"/>
                <wp:positionH relativeFrom="column">
                  <wp:posOffset>1866265</wp:posOffset>
                </wp:positionH>
                <wp:positionV relativeFrom="paragraph">
                  <wp:posOffset>232409</wp:posOffset>
                </wp:positionV>
                <wp:extent cx="1651000" cy="0"/>
                <wp:effectExtent l="0" t="0" r="25400" b="19050"/>
                <wp:wrapNone/>
                <wp:docPr id="5"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5" o:spid="_x0000_s1027" type="#_x0000_t32" style="width:130pt;height:0;margin-top:18.3pt;margin-left:146.95pt;mso-height-percent:0;mso-height-relative:page;mso-width-percent:0;mso-width-relative:page;mso-wrap-distance-bottom:0;mso-wrap-distance-left:9pt;mso-wrap-distance-right:9pt;mso-wrap-distance-top:0;mso-wrap-style:square;position:absolute;visibility:visible;z-index:251673600">
                <v:stroke dashstyle="dash"/>
              </v:shape>
            </w:pict>
          </mc:Fallback>
        </mc:AlternateContent>
      </w:r>
      <w:r w:rsidRPr="004664FE">
        <w:rPr>
          <w:rFonts w:ascii="Times New Roman" w:hAnsi="Times New Roman" w:cs="Times New Roman"/>
          <w:noProof/>
          <w:sz w:val="24"/>
          <w:lang w:val="es-ES"/>
        </w:rPr>
        <mc:AlternateContent>
          <mc:Choice Requires="wps">
            <w:drawing>
              <wp:anchor distT="0" distB="0" distL="114300" distR="114300" simplePos="0" relativeHeight="251670528" behindDoc="0" locked="0" layoutInCell="1" allowOverlap="1" wp14:anchorId="4509FBB9" wp14:editId="2B0ACE09">
                <wp:simplePos x="0" y="0"/>
                <wp:positionH relativeFrom="column">
                  <wp:posOffset>1866265</wp:posOffset>
                </wp:positionH>
                <wp:positionV relativeFrom="paragraph">
                  <wp:posOffset>-59691</wp:posOffset>
                </wp:positionV>
                <wp:extent cx="1651000" cy="0"/>
                <wp:effectExtent l="0" t="0" r="25400" b="19050"/>
                <wp:wrapNone/>
                <wp:docPr id="4" name="Conector recto de flech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4" o:spid="_x0000_s1028" type="#_x0000_t32" style="width:130pt;height:0;margin-top:-4.7pt;margin-left:146.95pt;mso-height-percent:0;mso-height-relative:page;mso-width-percent:0;mso-width-relative:page;mso-wrap-distance-bottom:0;mso-wrap-distance-left:9pt;mso-wrap-distance-right:9pt;mso-wrap-distance-top:0;mso-wrap-style:square;position:absolute;visibility:visible;z-index:251671552">
                <v:stroke dashstyle="dash"/>
              </v:shape>
            </w:pict>
          </mc:Fallback>
        </mc:AlternateContent>
      </w:r>
      <w:r w:rsidRPr="004664FE">
        <w:rPr>
          <w:rFonts w:ascii="Times New Roman" w:hAnsi="Times New Roman" w:cs="Times New Roman"/>
          <w:sz w:val="24"/>
          <w:szCs w:val="24"/>
        </w:rPr>
        <w:t xml:space="preserve">   Insert Table 2 about </w:t>
      </w:r>
      <w:proofErr w:type="gramStart"/>
      <w:r w:rsidRPr="004664FE">
        <w:rPr>
          <w:rFonts w:ascii="Times New Roman" w:hAnsi="Times New Roman" w:cs="Times New Roman"/>
          <w:sz w:val="24"/>
          <w:szCs w:val="24"/>
        </w:rPr>
        <w:t>here</w:t>
      </w:r>
      <w:proofErr w:type="gramEnd"/>
    </w:p>
    <w:p w14:paraId="2DEB4614" w14:textId="72C1218F" w:rsidR="00FD31EB" w:rsidRPr="004664FE" w:rsidRDefault="008968D6" w:rsidP="00FD31EB">
      <w:pPr>
        <w:spacing w:line="480" w:lineRule="auto"/>
        <w:ind w:firstLine="708"/>
        <w:jc w:val="both"/>
        <w:rPr>
          <w:rFonts w:ascii="Times New Roman" w:hAnsi="Times New Roman" w:cs="Times New Roman"/>
          <w:iCs/>
          <w:sz w:val="24"/>
          <w:szCs w:val="24"/>
        </w:rPr>
      </w:pPr>
      <w:r w:rsidRPr="004664FE">
        <w:rPr>
          <w:rFonts w:ascii="Times New Roman" w:hAnsi="Times New Roman" w:cs="Times New Roman"/>
          <w:sz w:val="24"/>
          <w:szCs w:val="24"/>
        </w:rPr>
        <w:t xml:space="preserve">We use the full model to discuss the results of the tests for the hypotheses. Hypothesis H1 predicts a negative quadratic effect of environmental innovations and </w:t>
      </w:r>
      <w:r w:rsidR="001C5379" w:rsidRPr="004664FE">
        <w:rPr>
          <w:rFonts w:ascii="Times New Roman" w:eastAsia="Calibri" w:hAnsi="Times New Roman" w:cs="Times New Roman"/>
          <w:sz w:val="24"/>
          <w:szCs w:val="24"/>
        </w:rPr>
        <w:t>firm</w:t>
      </w:r>
      <w:r w:rsidRPr="004664FE">
        <w:rPr>
          <w:rFonts w:ascii="Times New Roman" w:hAnsi="Times New Roman" w:cs="Times New Roman"/>
          <w:sz w:val="24"/>
          <w:szCs w:val="24"/>
        </w:rPr>
        <w:t xml:space="preserve"> performance. The coefficient of the quadratic term is negative and moderately significant (β = -1.12, </w:t>
      </w:r>
      <w:r w:rsidRPr="004664FE">
        <w:rPr>
          <w:rFonts w:ascii="Times New Roman" w:hAnsi="Times New Roman" w:cs="Times New Roman"/>
          <w:i/>
          <w:iCs/>
          <w:sz w:val="24"/>
          <w:szCs w:val="24"/>
        </w:rPr>
        <w:t xml:space="preserve">p </w:t>
      </w:r>
      <w:r w:rsidR="005C0204" w:rsidRPr="004664FE">
        <w:rPr>
          <w:rFonts w:ascii="Times New Roman" w:hAnsi="Times New Roman" w:cs="Times New Roman"/>
          <w:sz w:val="24"/>
          <w:szCs w:val="24"/>
        </w:rPr>
        <w:t xml:space="preserve">&lt; 0.05), thus supporting Hypothesis H1. Figure 1 better depicts this relationship, where we can see that moderate levels of environmental innovations exert a positive effect </w:t>
      </w:r>
      <w:r w:rsidR="001C5379" w:rsidRPr="004664FE">
        <w:rPr>
          <w:rFonts w:ascii="Times New Roman" w:eastAsia="Calibri" w:hAnsi="Times New Roman" w:cs="Times New Roman"/>
          <w:sz w:val="24"/>
          <w:szCs w:val="24"/>
        </w:rPr>
        <w:t>on firm</w:t>
      </w:r>
      <w:r w:rsidR="005C0204" w:rsidRPr="004664FE">
        <w:rPr>
          <w:rFonts w:ascii="Times New Roman" w:hAnsi="Times New Roman" w:cs="Times New Roman"/>
          <w:sz w:val="24"/>
          <w:szCs w:val="24"/>
        </w:rPr>
        <w:t xml:space="preserve"> performance until reaching a turning point where an excess of these innovations shows a negative effect </w:t>
      </w:r>
      <w:r w:rsidR="001C5379" w:rsidRPr="004664FE">
        <w:rPr>
          <w:rFonts w:ascii="Times New Roman" w:eastAsia="Calibri" w:hAnsi="Times New Roman" w:cs="Times New Roman"/>
          <w:sz w:val="24"/>
          <w:szCs w:val="24"/>
        </w:rPr>
        <w:t>on</w:t>
      </w:r>
      <w:r w:rsidR="005C0204" w:rsidRPr="004664FE">
        <w:rPr>
          <w:rFonts w:ascii="Times New Roman" w:hAnsi="Times New Roman" w:cs="Times New Roman"/>
          <w:sz w:val="24"/>
          <w:szCs w:val="24"/>
        </w:rPr>
        <w:t xml:space="preserve"> performance. Hypothesis H2 predicts a negative moderating effect of firm age on the relationship between environmental patenting and firm performance. The coefficient of the interaction term is negative and significant (β = -6.62, </w:t>
      </w:r>
      <w:r w:rsidR="005C0204" w:rsidRPr="004664FE">
        <w:rPr>
          <w:rFonts w:ascii="Times New Roman" w:hAnsi="Times New Roman" w:cs="Times New Roman"/>
          <w:i/>
          <w:iCs/>
          <w:sz w:val="24"/>
          <w:szCs w:val="24"/>
        </w:rPr>
        <w:t xml:space="preserve">p </w:t>
      </w:r>
      <w:r w:rsidR="00075CC7" w:rsidRPr="004664FE">
        <w:rPr>
          <w:rFonts w:ascii="Times New Roman" w:hAnsi="Times New Roman" w:cs="Times New Roman"/>
          <w:iCs/>
          <w:sz w:val="24"/>
          <w:szCs w:val="24"/>
        </w:rPr>
        <w:t>&lt; 0.01), thus supporting hypothesis H2. Figure 2 better depicts this relationship, where we can see that at low levels of environmental innovation, younger firms will have a stronger relationship between environmental innovations and firm performance, and at high levels of environmental innovation, the firm being younger will mitigate the declining relation between environmental innovation and financial performance</w:t>
      </w:r>
      <w:r w:rsidRPr="004664FE">
        <w:rPr>
          <w:rStyle w:val="Refdenotaalpie"/>
          <w:rFonts w:ascii="Times New Roman" w:hAnsi="Times New Roman" w:cs="Times New Roman"/>
          <w:iCs/>
          <w:sz w:val="24"/>
          <w:szCs w:val="24"/>
        </w:rPr>
        <w:footnoteReference w:id="3"/>
      </w:r>
      <w:r w:rsidR="00075CC7" w:rsidRPr="004664FE">
        <w:rPr>
          <w:rFonts w:ascii="Times New Roman" w:hAnsi="Times New Roman" w:cs="Times New Roman"/>
          <w:iCs/>
          <w:sz w:val="24"/>
          <w:szCs w:val="24"/>
        </w:rPr>
        <w:t>.</w:t>
      </w:r>
    </w:p>
    <w:p w14:paraId="000E7D7C" w14:textId="41A2916D" w:rsidR="00D67A8C" w:rsidRPr="004664FE" w:rsidRDefault="008968D6" w:rsidP="00D67A8C">
      <w:pPr>
        <w:tabs>
          <w:tab w:val="left" w:pos="284"/>
        </w:tabs>
        <w:spacing w:line="480" w:lineRule="auto"/>
        <w:ind w:left="2548" w:firstLine="284"/>
        <w:rPr>
          <w:rFonts w:ascii="Times New Roman" w:hAnsi="Times New Roman" w:cs="Times New Roman"/>
          <w:sz w:val="24"/>
          <w:szCs w:val="24"/>
        </w:rPr>
      </w:pPr>
      <w:r w:rsidRPr="004664FE">
        <w:rPr>
          <w:rFonts w:ascii="Times New Roman" w:hAnsi="Times New Roman" w:cs="Times New Roman"/>
          <w:noProof/>
          <w:sz w:val="24"/>
          <w:lang w:val="es-ES"/>
        </w:rPr>
        <mc:AlternateContent>
          <mc:Choice Requires="wps">
            <w:drawing>
              <wp:anchor distT="0" distB="0" distL="114300" distR="114300" simplePos="0" relativeHeight="251660288" behindDoc="0" locked="0" layoutInCell="1" allowOverlap="1" wp14:anchorId="588F0357" wp14:editId="017FF2CE">
                <wp:simplePos x="0" y="0"/>
                <wp:positionH relativeFrom="column">
                  <wp:posOffset>1866265</wp:posOffset>
                </wp:positionH>
                <wp:positionV relativeFrom="paragraph">
                  <wp:posOffset>232409</wp:posOffset>
                </wp:positionV>
                <wp:extent cx="1651000" cy="0"/>
                <wp:effectExtent l="0" t="0" r="25400" b="19050"/>
                <wp:wrapNone/>
                <wp:docPr id="7"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7" o:spid="_x0000_s1029" type="#_x0000_t32" style="width:130pt;height:0;margin-top:18.3pt;margin-left:146.95pt;mso-height-percent:0;mso-height-relative:page;mso-width-percent:0;mso-width-relative:page;mso-wrap-distance-bottom:0;mso-wrap-distance-left:9pt;mso-wrap-distance-right:9pt;mso-wrap-distance-top:0;mso-wrap-style:square;position:absolute;visibility:visible;z-index:251661312">
                <v:stroke dashstyle="dash"/>
              </v:shape>
            </w:pict>
          </mc:Fallback>
        </mc:AlternateContent>
      </w:r>
      <w:r w:rsidRPr="004664FE">
        <w:rPr>
          <w:rFonts w:ascii="Times New Roman" w:hAnsi="Times New Roman" w:cs="Times New Roman"/>
          <w:noProof/>
          <w:sz w:val="24"/>
          <w:lang w:val="es-ES"/>
        </w:rPr>
        <mc:AlternateContent>
          <mc:Choice Requires="wps">
            <w:drawing>
              <wp:anchor distT="0" distB="0" distL="114300" distR="114300" simplePos="0" relativeHeight="251658240" behindDoc="0" locked="0" layoutInCell="1" allowOverlap="1" wp14:anchorId="24928647" wp14:editId="2436298A">
                <wp:simplePos x="0" y="0"/>
                <wp:positionH relativeFrom="column">
                  <wp:posOffset>1866265</wp:posOffset>
                </wp:positionH>
                <wp:positionV relativeFrom="paragraph">
                  <wp:posOffset>-59691</wp:posOffset>
                </wp:positionV>
                <wp:extent cx="1651000" cy="0"/>
                <wp:effectExtent l="0" t="0" r="25400" b="19050"/>
                <wp:wrapNone/>
                <wp:docPr id="6" name="Conector recto de flecha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6" o:spid="_x0000_s1030" type="#_x0000_t32" style="width:130pt;height:0;margin-top:-4.7pt;margin-left:146.95pt;mso-height-percent:0;mso-height-relative:page;mso-width-percent:0;mso-width-relative:page;mso-wrap-distance-bottom:0;mso-wrap-distance-left:9pt;mso-wrap-distance-right:9pt;mso-wrap-distance-top:0;mso-wrap-style:square;position:absolute;visibility:visible;z-index:251659264">
                <v:stroke dashstyle="dash"/>
              </v:shape>
            </w:pict>
          </mc:Fallback>
        </mc:AlternateContent>
      </w:r>
      <w:r w:rsidRPr="004664FE">
        <w:rPr>
          <w:rFonts w:ascii="Times New Roman" w:hAnsi="Times New Roman" w:cs="Times New Roman"/>
          <w:sz w:val="24"/>
          <w:szCs w:val="24"/>
        </w:rPr>
        <w:t xml:space="preserve">   Insert Figure 1 about </w:t>
      </w:r>
      <w:proofErr w:type="gramStart"/>
      <w:r w:rsidRPr="004664FE">
        <w:rPr>
          <w:rFonts w:ascii="Times New Roman" w:hAnsi="Times New Roman" w:cs="Times New Roman"/>
          <w:sz w:val="24"/>
          <w:szCs w:val="24"/>
        </w:rPr>
        <w:t>here</w:t>
      </w:r>
      <w:proofErr w:type="gramEnd"/>
    </w:p>
    <w:p w14:paraId="2E93D32E" w14:textId="77777777" w:rsidR="00D67A8C" w:rsidRPr="004664FE" w:rsidRDefault="00D67A8C" w:rsidP="00D67A8C">
      <w:pPr>
        <w:spacing w:after="0" w:line="480" w:lineRule="auto"/>
        <w:jc w:val="both"/>
        <w:rPr>
          <w:rFonts w:ascii="Times New Roman" w:eastAsia="Times New Roman" w:hAnsi="Times New Roman" w:cs="Times New Roman"/>
          <w:sz w:val="24"/>
          <w:szCs w:val="24"/>
          <w:lang w:eastAsia="es-ES"/>
        </w:rPr>
      </w:pPr>
    </w:p>
    <w:p w14:paraId="5D20EFE4" w14:textId="0E86B7B8" w:rsidR="00FF67AC" w:rsidRPr="004664FE" w:rsidRDefault="008968D6" w:rsidP="00A20F42">
      <w:pPr>
        <w:tabs>
          <w:tab w:val="left" w:pos="284"/>
        </w:tabs>
        <w:spacing w:line="480" w:lineRule="auto"/>
        <w:ind w:left="2548" w:firstLine="284"/>
        <w:rPr>
          <w:rFonts w:ascii="Times New Roman" w:hAnsi="Times New Roman" w:cs="Times New Roman"/>
          <w:sz w:val="24"/>
          <w:szCs w:val="24"/>
        </w:rPr>
      </w:pPr>
      <w:r w:rsidRPr="004664FE">
        <w:rPr>
          <w:rFonts w:ascii="Times New Roman" w:hAnsi="Times New Roman" w:cs="Times New Roman"/>
          <w:noProof/>
          <w:sz w:val="24"/>
          <w:lang w:val="es-ES"/>
        </w:rPr>
        <mc:AlternateContent>
          <mc:Choice Requires="wps">
            <w:drawing>
              <wp:anchor distT="0" distB="0" distL="114300" distR="114300" simplePos="0" relativeHeight="251664384" behindDoc="0" locked="0" layoutInCell="1" allowOverlap="1" wp14:anchorId="4CE446A5" wp14:editId="6C771047">
                <wp:simplePos x="0" y="0"/>
                <wp:positionH relativeFrom="column">
                  <wp:posOffset>1866265</wp:posOffset>
                </wp:positionH>
                <wp:positionV relativeFrom="paragraph">
                  <wp:posOffset>232409</wp:posOffset>
                </wp:positionV>
                <wp:extent cx="1651000" cy="0"/>
                <wp:effectExtent l="0" t="0" r="25400" b="19050"/>
                <wp:wrapNone/>
                <wp:docPr id="9" name="Conector recto de flecha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9" o:spid="_x0000_s1031" type="#_x0000_t32" style="width:130pt;height:0;margin-top:18.3pt;margin-left:146.95pt;mso-height-percent:0;mso-height-relative:page;mso-width-percent:0;mso-width-relative:page;mso-wrap-distance-bottom:0;mso-wrap-distance-left:9pt;mso-wrap-distance-right:9pt;mso-wrap-distance-top:0;mso-wrap-style:square;position:absolute;visibility:visible;z-index:251665408">
                <v:stroke dashstyle="dash"/>
              </v:shape>
            </w:pict>
          </mc:Fallback>
        </mc:AlternateContent>
      </w:r>
      <w:r w:rsidRPr="004664FE">
        <w:rPr>
          <w:rFonts w:ascii="Times New Roman" w:hAnsi="Times New Roman" w:cs="Times New Roman"/>
          <w:noProof/>
          <w:sz w:val="24"/>
          <w:lang w:val="es-ES"/>
        </w:rPr>
        <mc:AlternateContent>
          <mc:Choice Requires="wps">
            <w:drawing>
              <wp:anchor distT="0" distB="0" distL="114300" distR="114300" simplePos="0" relativeHeight="251662336" behindDoc="0" locked="0" layoutInCell="1" allowOverlap="1" wp14:anchorId="2EB85E58" wp14:editId="720814D5">
                <wp:simplePos x="0" y="0"/>
                <wp:positionH relativeFrom="column">
                  <wp:posOffset>1866265</wp:posOffset>
                </wp:positionH>
                <wp:positionV relativeFrom="paragraph">
                  <wp:posOffset>-59691</wp:posOffset>
                </wp:positionV>
                <wp:extent cx="1651000" cy="0"/>
                <wp:effectExtent l="0" t="0" r="25400" b="19050"/>
                <wp:wrapNone/>
                <wp:docPr id="8" name="Conector recto de flecha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10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Conector recto de flecha 8" o:spid="_x0000_s1032" type="#_x0000_t32" style="width:130pt;height:0;margin-top:-4.7pt;margin-left:146.95pt;mso-height-percent:0;mso-height-relative:page;mso-width-percent:0;mso-width-relative:page;mso-wrap-distance-bottom:0;mso-wrap-distance-left:9pt;mso-wrap-distance-right:9pt;mso-wrap-distance-top:0;mso-wrap-style:square;position:absolute;visibility:visible;z-index:251663360">
                <v:stroke dashstyle="dash"/>
              </v:shape>
            </w:pict>
          </mc:Fallback>
        </mc:AlternateContent>
      </w:r>
      <w:r w:rsidRPr="004664FE">
        <w:rPr>
          <w:rFonts w:ascii="Times New Roman" w:hAnsi="Times New Roman" w:cs="Times New Roman"/>
          <w:sz w:val="24"/>
          <w:szCs w:val="24"/>
        </w:rPr>
        <w:t xml:space="preserve">   Insert Figure 2 about </w:t>
      </w:r>
      <w:proofErr w:type="gramStart"/>
      <w:r w:rsidRPr="004664FE">
        <w:rPr>
          <w:rFonts w:ascii="Times New Roman" w:hAnsi="Times New Roman" w:cs="Times New Roman"/>
          <w:sz w:val="24"/>
          <w:szCs w:val="24"/>
        </w:rPr>
        <w:t>here</w:t>
      </w:r>
      <w:proofErr w:type="gramEnd"/>
    </w:p>
    <w:p w14:paraId="1E48D99C" w14:textId="6A877B41" w:rsidR="00FF67AC" w:rsidRPr="004664FE" w:rsidRDefault="00FF67AC" w:rsidP="009B5076">
      <w:pPr>
        <w:spacing w:after="0" w:line="480" w:lineRule="auto"/>
        <w:rPr>
          <w:rFonts w:ascii="Times New Roman" w:hAnsi="Times New Roman" w:cs="Times New Roman"/>
          <w:sz w:val="24"/>
          <w:szCs w:val="24"/>
        </w:rPr>
      </w:pPr>
    </w:p>
    <w:p w14:paraId="645653BD" w14:textId="028E9DA3" w:rsidR="001F7472" w:rsidRPr="004664FE" w:rsidRDefault="008968D6" w:rsidP="009B5076">
      <w:pPr>
        <w:spacing w:after="0" w:line="480" w:lineRule="auto"/>
        <w:jc w:val="center"/>
        <w:rPr>
          <w:rFonts w:ascii="Times New Roman" w:hAnsi="Times New Roman" w:cs="Times New Roman"/>
          <w:sz w:val="24"/>
          <w:szCs w:val="24"/>
        </w:rPr>
      </w:pPr>
      <w:r w:rsidRPr="004664FE">
        <w:rPr>
          <w:rFonts w:ascii="Times New Roman" w:hAnsi="Times New Roman" w:cs="Times New Roman"/>
          <w:b/>
          <w:bCs/>
          <w:sz w:val="24"/>
          <w:szCs w:val="24"/>
        </w:rPr>
        <w:t>DISCUSSION AND CONCLUSIONS</w:t>
      </w:r>
    </w:p>
    <w:p w14:paraId="74B0A7A8" w14:textId="0EC09669" w:rsidR="00556442" w:rsidRPr="004664FE" w:rsidRDefault="008968D6" w:rsidP="00F851F2">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 xml:space="preserve">Current concerns about environmental damage and climate crisis have made environmental innovations emerge as a key tool with which to address these issues. </w:t>
      </w:r>
      <w:bookmarkStart w:id="17" w:name="_Hlk64492728"/>
      <w:bookmarkStart w:id="18" w:name="_Hlk65574649"/>
      <w:r w:rsidR="008A50C6" w:rsidRPr="004664FE">
        <w:rPr>
          <w:rFonts w:ascii="Times New Roman" w:hAnsi="Times New Roman" w:cs="Times New Roman"/>
          <w:sz w:val="24"/>
          <w:szCs w:val="24"/>
        </w:rPr>
        <w:t xml:space="preserve">Advocators of environmental innovations argue that such technologies can reduce pollution while also yielding positive returns for the organization (Caviggioli, 2016; Chen, 2008; Dangelico, 2016), with reasoning rooted in the natural resource-based theory of the firm (NRBV) (Hart, 1995). This theory has helped set the basis for major theoretical and empirical advances regarding sustainability, but concerning environmental innovations, we find a lack of consensus about their positive or negative impact on a firm’s profitability. In this regard, although we consider that low levels of environmental innovation positively affect firm performance (as suggested by the NRBV theory), we </w:t>
      </w:r>
      <w:r w:rsidR="00CC6904" w:rsidRPr="004664FE">
        <w:rPr>
          <w:rFonts w:ascii="Times New Roman" w:hAnsi="Times New Roman" w:cs="Times New Roman"/>
          <w:sz w:val="24"/>
          <w:szCs w:val="24"/>
        </w:rPr>
        <w:t>conjecture</w:t>
      </w:r>
      <w:r w:rsidR="008A50C6" w:rsidRPr="004664FE">
        <w:rPr>
          <w:rFonts w:ascii="Times New Roman" w:hAnsi="Times New Roman" w:cs="Times New Roman"/>
          <w:sz w:val="24"/>
          <w:szCs w:val="24"/>
        </w:rPr>
        <w:t xml:space="preserve"> that higher levels of environmental innovation amplify their intrinsic complexities to a point that these innovations become no longer profitable for the company. </w:t>
      </w:r>
      <w:bookmarkStart w:id="19" w:name="_Hlk64889657"/>
      <w:r w:rsidR="00363B9B" w:rsidRPr="004664FE">
        <w:rPr>
          <w:rFonts w:ascii="Times New Roman" w:hAnsi="Times New Roman" w:cs="Times New Roman"/>
          <w:sz w:val="24"/>
          <w:szCs w:val="24"/>
        </w:rPr>
        <w:t xml:space="preserve">In other words, we contribute to existing literature by arguing that the relationship between environmental innovation and firm performance is more complex than a simple linear (positive or negative) </w:t>
      </w:r>
      <w:bookmarkEnd w:id="19"/>
      <w:r w:rsidR="007F39AF" w:rsidRPr="004664FE">
        <w:rPr>
          <w:rFonts w:ascii="Times New Roman" w:hAnsi="Times New Roman" w:cs="Times New Roman"/>
          <w:sz w:val="24"/>
          <w:szCs w:val="24"/>
        </w:rPr>
        <w:t xml:space="preserve">relationship. This reasoning is empirically confirmed by our longitudinal analysis, which shows an inverted U relationship between environmental innovations and firm performance (Hypothesis H1). Our results help bridge opposing views for and against environmental innovations (Cainelli et al., 2015; </w:t>
      </w:r>
      <w:r w:rsidR="007F39AF" w:rsidRPr="004664FE">
        <w:rPr>
          <w:rFonts w:ascii="Times New Roman" w:hAnsi="Times New Roman" w:cs="Times New Roman"/>
          <w:color w:val="222222"/>
          <w:sz w:val="24"/>
          <w:szCs w:val="24"/>
          <w:shd w:val="clear" w:color="auto" w:fill="FFFFFF"/>
        </w:rPr>
        <w:t xml:space="preserve">De Marchi, 2012; </w:t>
      </w:r>
      <w:r w:rsidR="007F39AF" w:rsidRPr="004664FE">
        <w:rPr>
          <w:rFonts w:ascii="Times New Roman" w:hAnsi="Times New Roman" w:cs="Times New Roman"/>
          <w:sz w:val="24"/>
          <w:szCs w:val="24"/>
        </w:rPr>
        <w:t>Driessen et al., 2013;</w:t>
      </w:r>
      <w:r w:rsidR="007F39AF" w:rsidRPr="004664FE">
        <w:rPr>
          <w:rFonts w:ascii="Times New Roman" w:hAnsi="Times New Roman" w:cs="Times New Roman"/>
          <w:color w:val="222222"/>
          <w:sz w:val="24"/>
          <w:szCs w:val="24"/>
          <w:shd w:val="clear" w:color="auto" w:fill="FFFFFF"/>
        </w:rPr>
        <w:t xml:space="preserve"> </w:t>
      </w:r>
      <w:r w:rsidR="007F39AF" w:rsidRPr="004664FE">
        <w:rPr>
          <w:rFonts w:ascii="Times New Roman" w:hAnsi="Times New Roman" w:cs="Times New Roman"/>
          <w:sz w:val="24"/>
          <w:szCs w:val="24"/>
        </w:rPr>
        <w:t xml:space="preserve">Hussain et al, 2018; </w:t>
      </w:r>
      <w:r w:rsidR="007F39AF" w:rsidRPr="004664FE">
        <w:rPr>
          <w:rFonts w:ascii="Times New Roman" w:hAnsi="Times New Roman" w:cs="Times New Roman"/>
          <w:color w:val="222222"/>
          <w:sz w:val="24"/>
          <w:szCs w:val="24"/>
          <w:shd w:val="clear" w:color="auto" w:fill="FFFFFF"/>
        </w:rPr>
        <w:t>Leoncini et al., 2019)</w:t>
      </w:r>
      <w:r w:rsidR="007F39AF" w:rsidRPr="004664FE">
        <w:rPr>
          <w:rFonts w:ascii="Times New Roman" w:eastAsia="Calibri" w:hAnsi="Times New Roman" w:cs="Times New Roman"/>
          <w:sz w:val="24"/>
          <w:szCs w:val="24"/>
        </w:rPr>
        <w:t>.</w:t>
      </w:r>
    </w:p>
    <w:bookmarkEnd w:id="17"/>
    <w:p w14:paraId="48C5F1EC" w14:textId="35CA2566" w:rsidR="00734B24" w:rsidRPr="004664FE" w:rsidRDefault="008968D6" w:rsidP="00556442">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In line with the arguments of environmental innovati</w:t>
      </w:r>
      <w:bookmarkEnd w:id="18"/>
      <w:r w:rsidRPr="004664FE">
        <w:rPr>
          <w:rFonts w:ascii="Times New Roman" w:hAnsi="Times New Roman" w:cs="Times New Roman"/>
          <w:sz w:val="24"/>
          <w:szCs w:val="24"/>
        </w:rPr>
        <w:t>on advocators, our results show the positive effects of moderate levels of such innovations.</w:t>
      </w:r>
      <w:r w:rsidRPr="004664FE">
        <w:rPr>
          <w:rFonts w:ascii="Times New Roman" w:eastAsia="Calibri" w:hAnsi="Times New Roman" w:cs="Times New Roman"/>
          <w:sz w:val="24"/>
          <w:szCs w:val="24"/>
        </w:rPr>
        <w:t xml:space="preserve"> </w:t>
      </w:r>
      <w:r w:rsidRPr="004664FE">
        <w:rPr>
          <w:rFonts w:ascii="Times New Roman" w:hAnsi="Times New Roman" w:cs="Times New Roman"/>
          <w:sz w:val="24"/>
          <w:szCs w:val="24"/>
        </w:rPr>
        <w:t xml:space="preserve">Environmental innovations may not only reduce production costs such as energy and raw material use (Porter &amp; Van der Linde, </w:t>
      </w:r>
      <w:r w:rsidRPr="004664FE">
        <w:rPr>
          <w:rFonts w:ascii="Times New Roman" w:hAnsi="Times New Roman" w:cs="Times New Roman"/>
          <w:sz w:val="24"/>
          <w:szCs w:val="24"/>
        </w:rPr>
        <w:lastRenderedPageBreak/>
        <w:t xml:space="preserve">1995), but they may also bring the benefit of increasing demand from consumers (Ghisetti &amp; Rennings, 2014). The global consciousness toward sustainability issues has made more customers willing to pay higher prices for greener solutions, such as bio products and green electricity (Roche and Münnich, 2009), hence increasing the profitability of environmental innovations. Likewise, this trend has made it possible to generate new markets where companies can enjoy temporary monopoly rents (Lieberman &amp; Montgomery, 1988) while also building capabilities that can be exploited over the long term (Aragon-Correa, 1998). In addition, the development of environmental technologies helps generate a positive green image, </w:t>
      </w:r>
      <w:r w:rsidRPr="004664FE">
        <w:rPr>
          <w:rFonts w:ascii="Times New Roman" w:eastAsia="Calibri" w:hAnsi="Times New Roman" w:cs="Times New Roman"/>
          <w:sz w:val="24"/>
          <w:szCs w:val="24"/>
        </w:rPr>
        <w:t>which</w:t>
      </w:r>
      <w:r w:rsidRPr="004664FE">
        <w:rPr>
          <w:rFonts w:ascii="Times New Roman" w:hAnsi="Times New Roman" w:cs="Times New Roman"/>
          <w:sz w:val="24"/>
          <w:szCs w:val="24"/>
        </w:rPr>
        <w:t xml:space="preserve"> has been shown in previous studies to have a positive effect</w:t>
      </w:r>
      <w:r w:rsidRPr="004664FE">
        <w:rPr>
          <w:rFonts w:ascii="Times New Roman" w:eastAsia="Calibri" w:hAnsi="Times New Roman" w:cs="Times New Roman"/>
          <w:sz w:val="24"/>
          <w:szCs w:val="24"/>
        </w:rPr>
        <w:t xml:space="preserve"> on a</w:t>
      </w:r>
      <w:r w:rsidRPr="004664FE">
        <w:rPr>
          <w:rFonts w:ascii="Times New Roman" w:hAnsi="Times New Roman" w:cs="Times New Roman"/>
          <w:sz w:val="24"/>
          <w:szCs w:val="24"/>
        </w:rPr>
        <w:t xml:space="preserve"> firm’s financial performance (Chen, 2008).</w:t>
      </w:r>
    </w:p>
    <w:p w14:paraId="6CDED85A" w14:textId="630D2561" w:rsidR="00734B24" w:rsidRPr="004664FE" w:rsidRDefault="008968D6" w:rsidP="007915ED">
      <w:pPr>
        <w:spacing w:after="0" w:line="480" w:lineRule="auto"/>
        <w:ind w:firstLine="708"/>
        <w:jc w:val="both"/>
        <w:rPr>
          <w:rFonts w:ascii="Times New Roman" w:hAnsi="Times New Roman" w:cs="Times New Roman"/>
          <w:sz w:val="24"/>
          <w:szCs w:val="24"/>
        </w:rPr>
      </w:pPr>
      <w:bookmarkStart w:id="20" w:name="_Hlk71543328"/>
      <w:r w:rsidRPr="004664FE">
        <w:rPr>
          <w:rFonts w:ascii="Times New Roman" w:hAnsi="Times New Roman" w:cs="Times New Roman"/>
          <w:sz w:val="24"/>
          <w:szCs w:val="24"/>
        </w:rPr>
        <w:t xml:space="preserve">In spite of previous arguments, our results also confirm that overemphasis of these innovations may be detrimental to firm performance. This turning point could be explained by the increased complexity that environmental innovations pose compared to nonenvironmental </w:t>
      </w:r>
      <w:r w:rsidRPr="004664FE">
        <w:rPr>
          <w:rFonts w:ascii="Times New Roman" w:eastAsia="Calibri" w:hAnsi="Times New Roman" w:cs="Times New Roman"/>
          <w:sz w:val="24"/>
          <w:szCs w:val="24"/>
        </w:rPr>
        <w:t>innovations</w:t>
      </w:r>
      <w:r w:rsidRPr="004664FE">
        <w:rPr>
          <w:rFonts w:ascii="Times New Roman" w:hAnsi="Times New Roman" w:cs="Times New Roman"/>
          <w:sz w:val="24"/>
          <w:szCs w:val="24"/>
        </w:rPr>
        <w:t xml:space="preserve"> (Cainelli et al., 2015). Environmental innovations tend to tackle several issues with the same innovation (e.g.</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lower energy consumption and waste reduction), </w:t>
      </w:r>
      <w:r w:rsidRPr="004664FE">
        <w:rPr>
          <w:rFonts w:ascii="Times New Roman" w:eastAsia="Calibri" w:hAnsi="Times New Roman" w:cs="Times New Roman"/>
          <w:sz w:val="24"/>
          <w:szCs w:val="24"/>
        </w:rPr>
        <w:t>which</w:t>
      </w:r>
      <w:r w:rsidR="00FE7EC3" w:rsidRPr="004664FE">
        <w:rPr>
          <w:rFonts w:ascii="Times New Roman" w:hAnsi="Times New Roman" w:cs="Times New Roman"/>
          <w:sz w:val="24"/>
          <w:szCs w:val="24"/>
        </w:rPr>
        <w:t xml:space="preserve"> requires expertise and coordination among different departments (Cainelli, et al., 2015). This, in turn, may negatively impact the firm’s performance </w:t>
      </w:r>
      <w:r w:rsidRPr="004664FE">
        <w:rPr>
          <w:rFonts w:ascii="Times New Roman" w:hAnsi="Times New Roman" w:cs="Times New Roman"/>
          <w:sz w:val="24"/>
          <w:szCs w:val="24"/>
        </w:rPr>
        <w:t xml:space="preserve">the more the firm engages in developing diverse environmental innovations. Further, even if a firm follows a more focused approach, engaging deeply in one or a few eco-innovative areas, the </w:t>
      </w:r>
      <w:r w:rsidR="00A23289" w:rsidRPr="004664FE">
        <w:rPr>
          <w:rFonts w:ascii="Times New Roman" w:hAnsi="Times New Roman" w:cs="Times New Roman"/>
          <w:sz w:val="24"/>
          <w:szCs w:val="24"/>
        </w:rPr>
        <w:t>firm</w:t>
      </w:r>
      <w:r w:rsidRPr="004664FE">
        <w:rPr>
          <w:rFonts w:ascii="Times New Roman" w:hAnsi="Times New Roman" w:cs="Times New Roman"/>
          <w:sz w:val="24"/>
          <w:szCs w:val="24"/>
        </w:rPr>
        <w:t xml:space="preserve"> will still have to go through a renewal process to adapt its capabilities to the new context</w:t>
      </w:r>
      <w:r w:rsidR="00A23289" w:rsidRPr="004664FE">
        <w:rPr>
          <w:rFonts w:ascii="Times New Roman" w:hAnsi="Times New Roman" w:cs="Times New Roman"/>
          <w:sz w:val="24"/>
          <w:szCs w:val="24"/>
        </w:rPr>
        <w:t>; this</w:t>
      </w:r>
      <w:r w:rsidRPr="004664FE">
        <w:rPr>
          <w:rFonts w:ascii="Times New Roman" w:hAnsi="Times New Roman" w:cs="Times New Roman"/>
          <w:sz w:val="24"/>
          <w:szCs w:val="24"/>
        </w:rPr>
        <w:t xml:space="preserve"> usually requires a high degree of radicalness to succeed (Cecere et al., 2014), which poses additional challenges. In addition to these arguments</w:t>
      </w:r>
      <w:r w:rsidRPr="004664FE">
        <w:rPr>
          <w:rFonts w:ascii="Times New Roman" w:hAnsi="Times New Roman"/>
          <w:sz w:val="24"/>
        </w:rPr>
        <w:t>,</w:t>
      </w:r>
      <w:r w:rsidRPr="004664FE">
        <w:rPr>
          <w:rFonts w:ascii="Times New Roman" w:hAnsi="Times New Roman" w:cs="Times New Roman"/>
          <w:sz w:val="24"/>
          <w:szCs w:val="24"/>
        </w:rPr>
        <w:t xml:space="preserve"> environmental innovations are less well</w:t>
      </w:r>
      <w:r w:rsidRPr="004664FE">
        <w:rPr>
          <w:rFonts w:ascii="Times New Roman" w:eastAsia="Calibri" w:hAnsi="Times New Roman" w:cs="Times New Roman"/>
          <w:sz w:val="24"/>
          <w:szCs w:val="24"/>
        </w:rPr>
        <w:t xml:space="preserve"> </w:t>
      </w:r>
      <w:r w:rsidRPr="004664FE">
        <w:rPr>
          <w:rFonts w:ascii="Times New Roman" w:hAnsi="Times New Roman" w:cs="Times New Roman"/>
          <w:sz w:val="24"/>
          <w:szCs w:val="24"/>
        </w:rPr>
        <w:t xml:space="preserve">known </w:t>
      </w:r>
      <w:bookmarkEnd w:id="20"/>
      <w:r w:rsidRPr="004664FE">
        <w:rPr>
          <w:rFonts w:ascii="Times New Roman" w:hAnsi="Times New Roman" w:cs="Times New Roman"/>
          <w:sz w:val="24"/>
          <w:szCs w:val="24"/>
        </w:rPr>
        <w:t xml:space="preserve">than nonenvironmental </w:t>
      </w:r>
      <w:r w:rsidRPr="004664FE">
        <w:rPr>
          <w:rFonts w:ascii="Times New Roman" w:eastAsia="Calibri" w:hAnsi="Times New Roman" w:cs="Times New Roman"/>
          <w:sz w:val="24"/>
          <w:szCs w:val="24"/>
        </w:rPr>
        <w:t>innovations</w:t>
      </w:r>
      <w:r w:rsidRPr="004664FE">
        <w:rPr>
          <w:rFonts w:ascii="Times New Roman" w:hAnsi="Times New Roman" w:cs="Times New Roman"/>
          <w:sz w:val="24"/>
          <w:szCs w:val="24"/>
        </w:rPr>
        <w:t>. This characteristic could be advantageous (e.g.</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allows opening new markets) but is also a major source of risk, since this lack of familiarity makes it more difficult to know what the boundaries and potentialities of environmental innovations</w:t>
      </w:r>
      <w:r w:rsidRPr="004664FE">
        <w:rPr>
          <w:rFonts w:ascii="Times New Roman" w:eastAsia="Calibri" w:hAnsi="Times New Roman" w:cs="Times New Roman"/>
          <w:sz w:val="24"/>
          <w:szCs w:val="24"/>
        </w:rPr>
        <w:t xml:space="preserve"> are</w:t>
      </w:r>
      <w:r w:rsidRPr="004664FE">
        <w:rPr>
          <w:rFonts w:ascii="Times New Roman" w:hAnsi="Times New Roman" w:cs="Times New Roman"/>
          <w:sz w:val="24"/>
          <w:szCs w:val="24"/>
        </w:rPr>
        <w:t xml:space="preserve">. As a result, our first </w:t>
      </w:r>
      <w:r w:rsidRPr="004664FE">
        <w:rPr>
          <w:rFonts w:ascii="Times New Roman" w:hAnsi="Times New Roman" w:cs="Times New Roman"/>
          <w:sz w:val="24"/>
          <w:szCs w:val="24"/>
        </w:rPr>
        <w:lastRenderedPageBreak/>
        <w:t>hypothesis discourages overexposition regarding environmental innovations, as this may expose some of their disadvantages and negatively impact a firm’s performance.</w:t>
      </w:r>
    </w:p>
    <w:p w14:paraId="174E7E32" w14:textId="1CD4BC6B" w:rsidR="00F51389" w:rsidRPr="004664FE" w:rsidRDefault="008968D6" w:rsidP="00F51389">
      <w:pPr>
        <w:spacing w:after="0" w:line="480" w:lineRule="auto"/>
        <w:ind w:firstLine="708"/>
        <w:jc w:val="both"/>
        <w:rPr>
          <w:rFonts w:ascii="Times New Roman" w:hAnsi="Times New Roman" w:cs="Times New Roman"/>
          <w:sz w:val="24"/>
          <w:szCs w:val="24"/>
        </w:rPr>
      </w:pPr>
      <w:r w:rsidRPr="004664FE">
        <w:rPr>
          <w:rFonts w:ascii="Times New Roman" w:hAnsi="Times New Roman" w:cs="Times New Roman"/>
          <w:sz w:val="24"/>
          <w:szCs w:val="24"/>
        </w:rPr>
        <w:t>Finally, to complete our analysis of environmental innovations, we test the moderating influence that firm age has on the relationship between the development of environmental innovation and firm performance (Hypothesis H2). Our analysis shows that the moderating effect of firm age is negative, which means that younger firms “flatten” the inverted U relation proposed between environmental innovations and firm performance. In other words, firm age can be detrimental for firm performance because as firms age, organizational inertia and established routines restrict their ability to innovate and adapt to changing conditions in the environment (Barron, West &amp; Hannan, 1994; Rossi, 2016)</w:t>
      </w:r>
      <w:r w:rsidRPr="004664FE">
        <w:rPr>
          <w:rFonts w:ascii="Times New Roman" w:eastAsia="Calibri" w:hAnsi="Times New Roman" w:cs="Times New Roman"/>
          <w:sz w:val="24"/>
          <w:szCs w:val="24"/>
        </w:rPr>
        <w:t>;</w:t>
      </w:r>
      <w:r w:rsidRPr="004664FE">
        <w:rPr>
          <w:rFonts w:ascii="Times New Roman" w:hAnsi="Times New Roman" w:cs="Times New Roman"/>
          <w:sz w:val="24"/>
          <w:szCs w:val="24"/>
        </w:rPr>
        <w:t xml:space="preserve"> thus, their core capabilities transform into core rigidities (Leonard-Barton, 1992). As a consequence, older firms are usually less capable of managing innovation activities under conditions of technological discontinuity and uncertainty and tend to protect their current portfolio of products to avoiding cannibalizing their rent streams (Petruzzelli et al., 2018). Conversely, younger firms tend to be more active than older firms in pursuing radical and riskier environmental innovations, which favors the exploitation of new and green market niches, which, in turn, positively influences firm performance (Shrivastava &amp; Tamvada, 2019). Our results thus confirm that at low levels of environmental innovation, younger firms will have greater financial performance, given their ability to pioneer in emerging green innovation fields, and at high levels of environmental innovation, they will have less-pronounced declining effects. This is because more mature firms are more likely to fall into competence traps and inertia, which can be barriers that preclude them from discovering emerging and profitable innovations (Coad et al., 2016). Typically, as firms age, they tend to concentrate on managing their assets efficiently rather than on exploring new opportunities to grow, which, in turn, causes them to innovate less, making Tobin’s Q fall to a greater </w:t>
      </w:r>
      <w:r w:rsidRPr="004664FE">
        <w:rPr>
          <w:rFonts w:ascii="Times New Roman" w:eastAsia="Calibri" w:hAnsi="Times New Roman" w:cs="Times New Roman"/>
          <w:sz w:val="24"/>
          <w:szCs w:val="24"/>
        </w:rPr>
        <w:t>extent</w:t>
      </w:r>
      <w:r w:rsidRPr="004664FE">
        <w:rPr>
          <w:rFonts w:ascii="Times New Roman" w:hAnsi="Times New Roman" w:cs="Times New Roman"/>
          <w:sz w:val="24"/>
          <w:szCs w:val="24"/>
        </w:rPr>
        <w:t xml:space="preserve"> (Loderer et al., 2016).</w:t>
      </w:r>
    </w:p>
    <w:p w14:paraId="6FFEF6F1" w14:textId="3A57882D" w:rsidR="00F51389" w:rsidRPr="004664FE" w:rsidRDefault="008968D6" w:rsidP="005F0660">
      <w:pPr>
        <w:spacing w:line="480" w:lineRule="auto"/>
        <w:ind w:firstLine="708"/>
        <w:jc w:val="both"/>
        <w:rPr>
          <w:rFonts w:ascii="Times New Roman" w:hAnsi="Times New Roman"/>
          <w:color w:val="323130"/>
          <w:sz w:val="24"/>
          <w:shd w:val="clear" w:color="auto" w:fill="FFFFFF"/>
        </w:rPr>
      </w:pPr>
      <w:bookmarkStart w:id="21" w:name="_Hlk65661047"/>
      <w:r w:rsidRPr="004664FE">
        <w:rPr>
          <w:rFonts w:ascii="Times New Roman" w:hAnsi="Times New Roman"/>
          <w:color w:val="323130"/>
          <w:sz w:val="24"/>
          <w:shd w:val="clear" w:color="auto" w:fill="FFFFFF"/>
        </w:rPr>
        <w:lastRenderedPageBreak/>
        <w:t xml:space="preserve">Our work is not </w:t>
      </w:r>
      <w:r w:rsidRPr="004664FE">
        <w:rPr>
          <w:rFonts w:ascii="Times New Roman" w:hAnsi="Times New Roman" w:cs="Times New Roman"/>
          <w:color w:val="323130"/>
          <w:sz w:val="24"/>
          <w:szCs w:val="24"/>
          <w:shd w:val="clear" w:color="auto" w:fill="FFFFFF"/>
        </w:rPr>
        <w:t>free of</w:t>
      </w:r>
      <w:r w:rsidRPr="004664FE">
        <w:rPr>
          <w:rFonts w:ascii="Times New Roman" w:hAnsi="Times New Roman"/>
          <w:color w:val="323130"/>
          <w:sz w:val="24"/>
          <w:shd w:val="clear" w:color="auto" w:fill="FFFFFF"/>
        </w:rPr>
        <w:t xml:space="preserve"> limitations</w:t>
      </w:r>
      <w:r w:rsidR="00A23289" w:rsidRPr="004664FE">
        <w:rPr>
          <w:rFonts w:ascii="Times New Roman" w:hAnsi="Times New Roman"/>
          <w:color w:val="323130"/>
          <w:sz w:val="24"/>
          <w:shd w:val="clear" w:color="auto" w:fill="FFFFFF"/>
        </w:rPr>
        <w:t>, which allow</w:t>
      </w:r>
      <w:r w:rsidRPr="004664FE">
        <w:rPr>
          <w:rFonts w:ascii="Times New Roman" w:hAnsi="Times New Roman"/>
          <w:color w:val="323130"/>
          <w:sz w:val="24"/>
          <w:shd w:val="clear" w:color="auto" w:fill="FFFFFF"/>
        </w:rPr>
        <w:t xml:space="preserve"> new future research directions. One of the most important </w:t>
      </w:r>
      <w:r w:rsidRPr="004664FE">
        <w:rPr>
          <w:rFonts w:ascii="Times New Roman" w:hAnsi="Times New Roman" w:cs="Times New Roman"/>
          <w:color w:val="323130"/>
          <w:sz w:val="24"/>
          <w:szCs w:val="24"/>
          <w:shd w:val="clear" w:color="auto" w:fill="FFFFFF"/>
        </w:rPr>
        <w:t>arises</w:t>
      </w:r>
      <w:r w:rsidRPr="004664FE">
        <w:rPr>
          <w:rFonts w:ascii="Times New Roman" w:hAnsi="Times New Roman"/>
          <w:color w:val="323130"/>
          <w:sz w:val="24"/>
          <w:shd w:val="clear" w:color="auto" w:fill="FFFFFF"/>
        </w:rPr>
        <w:t xml:space="preserve"> from the use of patents as a proxy for innovation</w:t>
      </w:r>
      <w:r w:rsidR="007F39AF" w:rsidRPr="004664FE">
        <w:rPr>
          <w:rFonts w:ascii="Times New Roman" w:hAnsi="Times New Roman" w:cs="Times New Roman"/>
          <w:sz w:val="24"/>
          <w:szCs w:val="24"/>
        </w:rPr>
        <w:t>. While this procedure is followed by a large number of scholars (e.g.</w:t>
      </w:r>
      <w:r w:rsidR="007F39AF" w:rsidRPr="004664FE">
        <w:rPr>
          <w:rFonts w:ascii="Times New Roman" w:eastAsia="Calibri" w:hAnsi="Times New Roman" w:cs="Times New Roman"/>
          <w:sz w:val="24"/>
          <w:szCs w:val="24"/>
        </w:rPr>
        <w:t>,</w:t>
      </w:r>
      <w:r w:rsidR="007F39AF" w:rsidRPr="004664FE">
        <w:rPr>
          <w:rFonts w:ascii="Times New Roman" w:hAnsi="Times New Roman" w:cs="Times New Roman"/>
          <w:sz w:val="24"/>
          <w:szCs w:val="24"/>
        </w:rPr>
        <w:t xml:space="preserve"> Huang &amp; Su, 2019; Jeong &amp; Yoon, 2015; Somaya, 2012), we must also consider discerning voices that state that companies do not always patent their innovations; they also rely on secrecy and other means to protect their innovations (Blind, Cremers, &amp; Mueller, 2009; Fosfuri, 2006). Despite this concern, patents are widely employed in the innovation literature, as they represent an objective and quantifiable measure of innovativeness, and they are suitable for longitudinal analyses such as ours (Caviggioli, 2016; Steensma, Chari, &amp; Heidl, 2015). Also, the high patenting intensity of our industry (Gurry et al., 2012) makes environmental patents a good proxy for companies’ environmental innovation. Furthermore, in the environmental arena, patents are preferred over other proxies </w:t>
      </w:r>
      <w:r w:rsidR="007F39AF" w:rsidRPr="004664FE">
        <w:rPr>
          <w:rFonts w:ascii="Times New Roman" w:eastAsia="Calibri" w:hAnsi="Times New Roman" w:cs="Times New Roman"/>
          <w:sz w:val="24"/>
          <w:szCs w:val="24"/>
        </w:rPr>
        <w:t>such as</w:t>
      </w:r>
      <w:r w:rsidR="007F39AF" w:rsidRPr="004664FE">
        <w:rPr>
          <w:rFonts w:ascii="Times New Roman" w:hAnsi="Times New Roman" w:cs="Times New Roman"/>
          <w:sz w:val="24"/>
          <w:szCs w:val="24"/>
        </w:rPr>
        <w:t xml:space="preserve"> questionnaires, as the latter may be biased due to the companies’ tendency </w:t>
      </w:r>
      <w:r w:rsidR="007F39AF" w:rsidRPr="004664FE">
        <w:rPr>
          <w:rFonts w:ascii="Times New Roman" w:eastAsia="Calibri" w:hAnsi="Times New Roman" w:cs="Times New Roman"/>
          <w:sz w:val="24"/>
          <w:szCs w:val="24"/>
        </w:rPr>
        <w:t>to provide</w:t>
      </w:r>
      <w:r w:rsidR="0060359E" w:rsidRPr="004664FE">
        <w:rPr>
          <w:rFonts w:ascii="Times New Roman" w:hAnsi="Times New Roman" w:cs="Times New Roman"/>
          <w:sz w:val="24"/>
          <w:szCs w:val="24"/>
        </w:rPr>
        <w:t xml:space="preserve"> a socially desirable image (Berrone, et al., 2013). By taking some of the advantages of using patent data, future studies could analyze the value or impact of each patent through its forward citations (e.g., Trajtenberg, 1990).</w:t>
      </w:r>
      <w:r w:rsidR="007F39AF" w:rsidRPr="004664FE">
        <w:rPr>
          <w:rFonts w:ascii="Times New Roman" w:hAnsi="Times New Roman" w:cs="Times New Roman"/>
          <w:sz w:val="24"/>
          <w:szCs w:val="24"/>
        </w:rPr>
        <w:t xml:space="preserve"> Another limitation of our work is the use of a single industry. Although this approach eases comparability within the companies analyzed (Cohen, Nelson &amp; Walsh, 2000), as firms’ motives to patent tend to be stable within an industry (Clarkson &amp; Toh, 2010), future works could complement our findings by conducting cross-sectorial analyses after controlling for industry differences. An additional limitation of our work is its replicability in other industries. Although we consider our findings relevant to a wide variety of industries worldwide, as environmental innovations are becoming a global issue at national and international levels (Bai, et al., 2019; European Commission, 2019), our analysis cannot necessarily be easily replicated for all industries. In this regard, we deliberately chose a patenting-intensive industry, E&amp;E, because in this type of industry, patents represent a robust proxy for innovations. Thus, this study could be easily replicated for other patenting-intensive </w:t>
      </w:r>
      <w:r w:rsidR="007F39AF" w:rsidRPr="004664FE">
        <w:rPr>
          <w:rFonts w:ascii="Times New Roman" w:hAnsi="Times New Roman" w:cs="Times New Roman"/>
          <w:sz w:val="24"/>
          <w:szCs w:val="24"/>
        </w:rPr>
        <w:lastRenderedPageBreak/>
        <w:t>industries such as the pharmaceutical, automotive and semiconductor industries (Hall &amp; Ziedonis, 2001). However, future works that seek to replicate our analysis of environmental innovations in low-patenting industries such as mining, fishing and construction should develop alternative ways of measuring environmental innovation instead of using patents</w:t>
      </w:r>
      <w:bookmarkStart w:id="22" w:name="_Hlk65660820"/>
      <w:r w:rsidR="007F39AF" w:rsidRPr="004664FE">
        <w:rPr>
          <w:rFonts w:ascii="Times New Roman" w:hAnsi="Times New Roman" w:cs="Times New Roman"/>
          <w:sz w:val="24"/>
          <w:szCs w:val="24"/>
        </w:rPr>
        <w:t xml:space="preserve">. </w:t>
      </w:r>
      <w:bookmarkStart w:id="23" w:name="_Hlk65573522"/>
      <w:r w:rsidR="007F39AF" w:rsidRPr="004664FE">
        <w:rPr>
          <w:rFonts w:ascii="Times New Roman" w:hAnsi="Times New Roman" w:cs="Times New Roman"/>
          <w:sz w:val="24"/>
          <w:szCs w:val="24"/>
        </w:rPr>
        <w:t>In relation to the role of firm age, our study shows that as firms become older and at high levels of environmental innovation, their decrease in performance is particularly pronounced, which can be explained</w:t>
      </w:r>
      <w:r w:rsidR="007F39AF" w:rsidRPr="004664FE">
        <w:rPr>
          <w:rFonts w:ascii="Times New Roman" w:eastAsia="Calibri" w:hAnsi="Times New Roman" w:cs="Times New Roman"/>
          <w:sz w:val="24"/>
          <w:szCs w:val="24"/>
        </w:rPr>
        <w:t xml:space="preserve"> by</w:t>
      </w:r>
      <w:r w:rsidR="007F39AF" w:rsidRPr="004664FE">
        <w:rPr>
          <w:rFonts w:ascii="Times New Roman" w:hAnsi="Times New Roman" w:cs="Times New Roman"/>
          <w:sz w:val="24"/>
          <w:szCs w:val="24"/>
        </w:rPr>
        <w:t xml:space="preserve"> their liabilities in the form of obsolescence and inertia, among other factors (Barron et al., 1994; Coad et al., 2016).</w:t>
      </w:r>
      <w:bookmarkEnd w:id="21"/>
      <w:r w:rsidR="007F39AF" w:rsidRPr="004664FE">
        <w:rPr>
          <w:rFonts w:ascii="Times New Roman" w:hAnsi="Times New Roman" w:cs="Times New Roman"/>
          <w:sz w:val="24"/>
          <w:szCs w:val="24"/>
        </w:rPr>
        <w:t xml:space="preserve"> Being aware of these challenges, we propose the possible solution that older firms should focus on internal greening (e.g.</w:t>
      </w:r>
      <w:r w:rsidR="007F39AF" w:rsidRPr="004664FE">
        <w:rPr>
          <w:rFonts w:ascii="Times New Roman" w:eastAsia="Calibri" w:hAnsi="Times New Roman" w:cs="Times New Roman"/>
          <w:sz w:val="24"/>
          <w:szCs w:val="24"/>
        </w:rPr>
        <w:t>,</w:t>
      </w:r>
      <w:r w:rsidR="007F39AF" w:rsidRPr="004664FE">
        <w:rPr>
          <w:rFonts w:ascii="Times New Roman" w:hAnsi="Times New Roman" w:cs="Times New Roman"/>
          <w:sz w:val="24"/>
          <w:szCs w:val="24"/>
        </w:rPr>
        <w:t xml:space="preserve"> hiring employees for green activities or going beyond compliance with green regulations), </w:t>
      </w:r>
      <w:r w:rsidR="007F39AF" w:rsidRPr="004664FE">
        <w:rPr>
          <w:rFonts w:ascii="Times New Roman" w:eastAsia="Calibri" w:hAnsi="Times New Roman" w:cs="Times New Roman"/>
          <w:sz w:val="24"/>
          <w:szCs w:val="24"/>
        </w:rPr>
        <w:t>which can</w:t>
      </w:r>
      <w:r w:rsidR="007F39AF" w:rsidRPr="004664FE">
        <w:rPr>
          <w:rFonts w:ascii="Times New Roman" w:hAnsi="Times New Roman" w:cs="Times New Roman"/>
          <w:sz w:val="24"/>
          <w:szCs w:val="24"/>
        </w:rPr>
        <w:t xml:space="preserve"> revitalize the organization and provide more flexibility within its overused routines (Shrivastava and Tamvada, 2019).</w:t>
      </w:r>
      <w:r w:rsidR="007F39AF" w:rsidRPr="004664FE">
        <w:rPr>
          <w:rFonts w:ascii="Times New Roman" w:hAnsi="Times New Roman"/>
        </w:rPr>
        <w:t xml:space="preserve"> </w:t>
      </w:r>
      <w:r w:rsidR="007F39AF" w:rsidRPr="004664FE">
        <w:rPr>
          <w:rFonts w:ascii="Times New Roman" w:hAnsi="Times New Roman" w:cs="Times New Roman"/>
          <w:sz w:val="24"/>
          <w:szCs w:val="24"/>
        </w:rPr>
        <w:t xml:space="preserve">In addition, mature firms could ally with small and younger innovative firms (Ariño, Ragozzino &amp; Reuer, 2008) or make most of their connections with other stakeholders to pursue environmental innovations, given that these older firms can take advantage of their increased visibility and reputation (over younger firms) (D’Amato &amp; Falivena, 2019). Together, organizational renewal and the above actions can be key in </w:t>
      </w:r>
      <w:r w:rsidR="007F39AF" w:rsidRPr="004664FE">
        <w:rPr>
          <w:rFonts w:ascii="Times New Roman" w:eastAsia="Calibri" w:hAnsi="Times New Roman" w:cs="Times New Roman"/>
          <w:sz w:val="24"/>
          <w:szCs w:val="24"/>
        </w:rPr>
        <w:t>inducing</w:t>
      </w:r>
      <w:r w:rsidR="007F39AF" w:rsidRPr="004664FE">
        <w:rPr>
          <w:rFonts w:ascii="Times New Roman" w:hAnsi="Times New Roman" w:cs="Times New Roman"/>
          <w:sz w:val="24"/>
          <w:szCs w:val="24"/>
        </w:rPr>
        <w:t xml:space="preserve"> positive effects on firm performance (Leoncini et al., 2019) and can also contribute to </w:t>
      </w:r>
      <w:r w:rsidR="007F39AF" w:rsidRPr="004664FE">
        <w:rPr>
          <w:rFonts w:ascii="Times New Roman" w:eastAsia="Calibri" w:hAnsi="Times New Roman" w:cs="Times New Roman"/>
          <w:sz w:val="24"/>
          <w:szCs w:val="24"/>
        </w:rPr>
        <w:t>mitigating</w:t>
      </w:r>
      <w:r w:rsidR="007F39AF" w:rsidRPr="004664FE">
        <w:rPr>
          <w:rFonts w:ascii="Times New Roman" w:hAnsi="Times New Roman" w:cs="Times New Roman"/>
          <w:sz w:val="24"/>
          <w:szCs w:val="24"/>
        </w:rPr>
        <w:t xml:space="preserve"> the drawbacks derived from a high degree of commitment to complex and uncertain environmental innovations.</w:t>
      </w:r>
      <w:bookmarkEnd w:id="23"/>
    </w:p>
    <w:p w14:paraId="0EC12D79" w14:textId="2CF5357F" w:rsidR="00C349B9" w:rsidRPr="004664FE" w:rsidRDefault="008968D6" w:rsidP="00C349B9">
      <w:pPr>
        <w:spacing w:after="0" w:line="480" w:lineRule="auto"/>
        <w:ind w:firstLine="708"/>
        <w:jc w:val="both"/>
        <w:rPr>
          <w:rFonts w:ascii="Times New Roman" w:hAnsi="Times New Roman" w:cs="Times New Roman"/>
          <w:sz w:val="24"/>
          <w:szCs w:val="24"/>
        </w:rPr>
      </w:pPr>
      <w:bookmarkStart w:id="24" w:name="_Hlk64644346"/>
      <w:bookmarkEnd w:id="22"/>
      <w:r w:rsidRPr="004664FE">
        <w:rPr>
          <w:rFonts w:ascii="Times New Roman" w:hAnsi="Times New Roman" w:cs="Times New Roman"/>
          <w:sz w:val="24"/>
          <w:szCs w:val="24"/>
        </w:rPr>
        <w:t xml:space="preserve">Our work has some potential implications for managers. More specifically, our analysis shows the risks of devoting an entire technological portfolio to the development of environmental innovations. Despite their increasing importance and acceptance worldwide, environmental innovations still pose more complexities compared to nonenvironmental </w:t>
      </w:r>
      <w:r w:rsidR="001C5379" w:rsidRPr="004664FE">
        <w:rPr>
          <w:rFonts w:ascii="Times New Roman" w:eastAsia="Calibri" w:hAnsi="Times New Roman" w:cs="Times New Roman"/>
          <w:sz w:val="24"/>
          <w:szCs w:val="24"/>
        </w:rPr>
        <w:t>innovations</w:t>
      </w:r>
      <w:r w:rsidRPr="004664FE">
        <w:rPr>
          <w:rFonts w:ascii="Times New Roman" w:hAnsi="Times New Roman" w:cs="Times New Roman"/>
          <w:sz w:val="24"/>
          <w:szCs w:val="24"/>
        </w:rPr>
        <w:t xml:space="preserve"> and thus may require more resources and capabilities. Environmental innovations are not as mature as nonenvironmental innovations, thereby bringing not only innumerable advantages but also more uncertainties about a firm’s performance. As a consequence, our work </w:t>
      </w:r>
      <w:r w:rsidRPr="004664FE">
        <w:rPr>
          <w:rFonts w:ascii="Times New Roman" w:hAnsi="Times New Roman" w:cs="Times New Roman"/>
          <w:sz w:val="24"/>
          <w:szCs w:val="24"/>
        </w:rPr>
        <w:lastRenderedPageBreak/>
        <w:t xml:space="preserve">recommends making a transition toward the development of green technologies. </w:t>
      </w:r>
      <w:r w:rsidR="001C5379" w:rsidRPr="004664FE">
        <w:rPr>
          <w:rFonts w:ascii="Times New Roman" w:eastAsia="Calibri" w:hAnsi="Times New Roman" w:cs="Times New Roman"/>
          <w:sz w:val="24"/>
          <w:szCs w:val="24"/>
        </w:rPr>
        <w:t>In this</w:t>
      </w:r>
      <w:r w:rsidRPr="004664FE">
        <w:rPr>
          <w:rFonts w:ascii="Times New Roman" w:hAnsi="Times New Roman" w:cs="Times New Roman"/>
          <w:sz w:val="24"/>
          <w:szCs w:val="24"/>
        </w:rPr>
        <w:t xml:space="preserve"> way, companies will gain major expertise regarding such innovations while securing temporary profits from nonenvironmental technologies.</w:t>
      </w:r>
      <w:bookmarkEnd w:id="24"/>
      <w:r w:rsidR="001C5379" w:rsidRPr="004664FE">
        <w:rPr>
          <w:rFonts w:ascii="Times New Roman" w:hAnsi="Times New Roman" w:cs="Times New Roman"/>
          <w:sz w:val="24"/>
          <w:szCs w:val="24"/>
        </w:rPr>
        <w:t xml:space="preserve"> Our </w:t>
      </w:r>
      <w:r w:rsidR="001C5379" w:rsidRPr="004664FE">
        <w:rPr>
          <w:rFonts w:ascii="Times New Roman" w:eastAsia="Calibri" w:hAnsi="Times New Roman" w:cs="Times New Roman"/>
          <w:sz w:val="24"/>
          <w:szCs w:val="24"/>
        </w:rPr>
        <w:t>work</w:t>
      </w:r>
      <w:r w:rsidR="001C5379" w:rsidRPr="004664FE">
        <w:rPr>
          <w:rFonts w:ascii="Times New Roman" w:hAnsi="Times New Roman" w:cs="Times New Roman"/>
          <w:sz w:val="24"/>
          <w:szCs w:val="24"/>
        </w:rPr>
        <w:t xml:space="preserve"> also offers some relevant insights for policymakers. The fact that a complete transition to environmental technologies is discouraged points out the necessity of policymakers taking on an active role </w:t>
      </w:r>
      <w:r w:rsidR="001C5379" w:rsidRPr="004664FE">
        <w:rPr>
          <w:rFonts w:ascii="Times New Roman" w:eastAsia="Calibri" w:hAnsi="Times New Roman" w:cs="Times New Roman"/>
          <w:sz w:val="24"/>
          <w:szCs w:val="24"/>
        </w:rPr>
        <w:t>in</w:t>
      </w:r>
      <w:r w:rsidR="001C5379" w:rsidRPr="004664FE">
        <w:rPr>
          <w:rFonts w:ascii="Times New Roman" w:hAnsi="Times New Roman" w:cs="Times New Roman"/>
          <w:sz w:val="24"/>
          <w:szCs w:val="24"/>
        </w:rPr>
        <w:t xml:space="preserve"> fostering these technologies. Environmental innovations tend to be more uncertain and nascent than nonenvironmental </w:t>
      </w:r>
      <w:r w:rsidR="001C5379" w:rsidRPr="004664FE">
        <w:rPr>
          <w:rFonts w:ascii="Times New Roman" w:eastAsia="Calibri" w:hAnsi="Times New Roman" w:cs="Times New Roman"/>
          <w:sz w:val="24"/>
          <w:szCs w:val="24"/>
        </w:rPr>
        <w:t>innovations</w:t>
      </w:r>
      <w:r w:rsidR="001C5379" w:rsidRPr="004664FE">
        <w:rPr>
          <w:rFonts w:ascii="Times New Roman" w:hAnsi="Times New Roman" w:cs="Times New Roman"/>
          <w:sz w:val="24"/>
          <w:szCs w:val="24"/>
        </w:rPr>
        <w:t xml:space="preserve"> (Bai, et al., 2019; Del Río, Morán &amp; Albiñana, 2011)</w:t>
      </w:r>
      <w:r w:rsidR="001C5379" w:rsidRPr="004664FE">
        <w:rPr>
          <w:rFonts w:ascii="Times New Roman" w:eastAsia="Calibri" w:hAnsi="Times New Roman" w:cs="Times New Roman"/>
          <w:sz w:val="24"/>
          <w:szCs w:val="24"/>
        </w:rPr>
        <w:t>;</w:t>
      </w:r>
      <w:r w:rsidR="001C5379" w:rsidRPr="004664FE">
        <w:rPr>
          <w:rFonts w:ascii="Times New Roman" w:hAnsi="Times New Roman" w:cs="Times New Roman"/>
          <w:sz w:val="24"/>
          <w:szCs w:val="24"/>
        </w:rPr>
        <w:t xml:space="preserve"> thus</w:t>
      </w:r>
      <w:r w:rsidR="001C5379" w:rsidRPr="004664FE">
        <w:rPr>
          <w:rFonts w:ascii="Times New Roman" w:eastAsia="Calibri" w:hAnsi="Times New Roman" w:cs="Times New Roman"/>
          <w:sz w:val="24"/>
          <w:szCs w:val="24"/>
        </w:rPr>
        <w:t>,</w:t>
      </w:r>
      <w:r w:rsidR="001C5379" w:rsidRPr="004664FE">
        <w:rPr>
          <w:rFonts w:ascii="Times New Roman" w:hAnsi="Times New Roman" w:cs="Times New Roman"/>
          <w:sz w:val="24"/>
          <w:szCs w:val="24"/>
        </w:rPr>
        <w:t xml:space="preserve"> policies should be created to help companies reduce these uncertainties when making an investment. This uncertainty reduction will reinforce the intrinsic competitive advantages of environmental innovations, hence increasing their profitability and driving companies to develop them, </w:t>
      </w:r>
      <w:r w:rsidR="001C5379" w:rsidRPr="004664FE">
        <w:rPr>
          <w:rFonts w:ascii="Times New Roman" w:eastAsia="Calibri" w:hAnsi="Times New Roman" w:cs="Times New Roman"/>
          <w:sz w:val="24"/>
          <w:szCs w:val="24"/>
        </w:rPr>
        <w:t>which</w:t>
      </w:r>
      <w:r w:rsidR="001C5379" w:rsidRPr="004664FE">
        <w:rPr>
          <w:rFonts w:ascii="Times New Roman" w:hAnsi="Times New Roman" w:cs="Times New Roman"/>
          <w:sz w:val="24"/>
          <w:szCs w:val="24"/>
        </w:rPr>
        <w:t xml:space="preserve"> may develop into the virtuous circle theorized by Porter &amp; Van der Linde back in 1995 (i.e., the “win-win” scenario) that is still a major source of debate. Further, in light of the greater challenges experienced by more mature firms in comparison with younger firms, public institutions should support collaborations with different agents and stakeholders to promote green innovative activities. </w:t>
      </w:r>
      <w:r w:rsidR="001C5379" w:rsidRPr="004664FE">
        <w:rPr>
          <w:rFonts w:ascii="Times New Roman" w:eastAsia="Calibri" w:hAnsi="Times New Roman" w:cs="Times New Roman"/>
          <w:sz w:val="24"/>
          <w:szCs w:val="24"/>
        </w:rPr>
        <w:t>In this</w:t>
      </w:r>
      <w:r w:rsidR="001C5379" w:rsidRPr="004664FE">
        <w:rPr>
          <w:rFonts w:ascii="Times New Roman" w:hAnsi="Times New Roman" w:cs="Times New Roman"/>
          <w:sz w:val="24"/>
          <w:szCs w:val="24"/>
        </w:rPr>
        <w:t xml:space="preserve"> way, mature firms could overcome their reticence toward the change needed to foster the development of radical environmental innovations (De Marchi, 2012).</w:t>
      </w:r>
    </w:p>
    <w:p w14:paraId="2BC2CE3A" w14:textId="77777777" w:rsidR="00DA0A65" w:rsidRPr="004664FE" w:rsidRDefault="008968D6" w:rsidP="00DA0A65">
      <w:pPr>
        <w:spacing w:after="0" w:line="480" w:lineRule="auto"/>
        <w:jc w:val="both"/>
        <w:rPr>
          <w:rFonts w:ascii="Times New Roman" w:hAnsi="Times New Roman" w:cs="Times New Roman"/>
          <w:sz w:val="24"/>
        </w:rPr>
      </w:pPr>
      <w:bookmarkStart w:id="25" w:name="_Hlk65608138"/>
      <w:r w:rsidRPr="004664FE">
        <w:rPr>
          <w:rFonts w:ascii="Times New Roman" w:hAnsi="Times New Roman" w:cs="Times New Roman"/>
          <w:b/>
          <w:sz w:val="24"/>
        </w:rPr>
        <w:t>References</w:t>
      </w:r>
    </w:p>
    <w:p w14:paraId="6B6E542B" w14:textId="56120980"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Aiken LS, &amp; West SG. (1991).</w:t>
      </w:r>
      <w:r w:rsidRPr="004664FE">
        <w:rPr>
          <w:rFonts w:ascii="Times New Roman" w:hAnsi="Times New Roman" w:cs="Times New Roman"/>
          <w:b/>
          <w:i/>
          <w:sz w:val="24"/>
        </w:rPr>
        <w:t xml:space="preserve"> Multiple Regression: Testing and Interpreting Interaction</w:t>
      </w:r>
      <w:r w:rsidRPr="004664FE">
        <w:rPr>
          <w:rFonts w:ascii="Times New Roman" w:hAnsi="Times New Roman" w:cs="Times New Roman"/>
          <w:i/>
          <w:sz w:val="24"/>
        </w:rPr>
        <w:t>s</w:t>
      </w:r>
      <w:r w:rsidRPr="004664FE">
        <w:rPr>
          <w:rFonts w:ascii="Times New Roman" w:hAnsi="Times New Roman" w:cs="Times New Roman"/>
          <w:sz w:val="24"/>
        </w:rPr>
        <w:t>. Sage: London, UK.</w:t>
      </w:r>
    </w:p>
    <w:p w14:paraId="029FF24E" w14:textId="0D034E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Aragon-Correa, J. A. (1998). Strategic proactivity and firm approach to the natural environment. </w:t>
      </w:r>
      <w:r w:rsidRPr="004664FE">
        <w:rPr>
          <w:rFonts w:ascii="Times New Roman" w:hAnsi="Times New Roman" w:cs="Times New Roman"/>
          <w:b/>
          <w:i/>
          <w:sz w:val="24"/>
        </w:rPr>
        <w:t>Academy of Management Journal</w:t>
      </w:r>
      <w:r w:rsidRPr="004664FE">
        <w:rPr>
          <w:rFonts w:ascii="Times New Roman" w:hAnsi="Times New Roman" w:cs="Times New Roman"/>
          <w:sz w:val="24"/>
        </w:rPr>
        <w:t>, 41(5): 556-567.</w:t>
      </w:r>
    </w:p>
    <w:p w14:paraId="4D1F5767" w14:textId="52E5F256"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Aragon-Correa, J. A., Marcus, A., &amp; Vogel, D. (2020). The Effects of Mandatory and Voluntary Regulatory Pressures on Firms’ Environmental Strategies: A Review and Recommendations for Future Research. </w:t>
      </w:r>
      <w:r w:rsidRPr="004664FE">
        <w:rPr>
          <w:rFonts w:ascii="Times New Roman" w:hAnsi="Times New Roman" w:cs="Times New Roman"/>
          <w:b/>
          <w:i/>
          <w:sz w:val="24"/>
        </w:rPr>
        <w:t>Academy of Management Annals</w:t>
      </w:r>
      <w:r w:rsidRPr="004664FE">
        <w:rPr>
          <w:rFonts w:ascii="Times New Roman" w:hAnsi="Times New Roman" w:cs="Times New Roman"/>
          <w:sz w:val="24"/>
        </w:rPr>
        <w:t>.</w:t>
      </w:r>
    </w:p>
    <w:p w14:paraId="4668E5AF" w14:textId="2D4DEBFE" w:rsidR="00DA0A65" w:rsidRPr="004664FE" w:rsidRDefault="008968D6" w:rsidP="00DA0A65">
      <w:pPr>
        <w:spacing w:after="120" w:line="240" w:lineRule="auto"/>
        <w:ind w:left="426" w:hanging="426"/>
        <w:jc w:val="both"/>
        <w:rPr>
          <w:rFonts w:ascii="Times New Roman" w:hAnsi="Times New Roman" w:cs="Times New Roman"/>
          <w:sz w:val="24"/>
          <w:szCs w:val="24"/>
        </w:rPr>
      </w:pPr>
      <w:r w:rsidRPr="004664FE">
        <w:rPr>
          <w:rFonts w:ascii="Times New Roman" w:hAnsi="Times New Roman" w:cs="Times New Roman"/>
          <w:sz w:val="24"/>
          <w:szCs w:val="24"/>
        </w:rPr>
        <w:t xml:space="preserve">Ariño A, Ragozzino R, Reuer JJ. (2008). Alliance dynamics for entrepreneurial firms. </w:t>
      </w:r>
      <w:r w:rsidRPr="004664FE">
        <w:rPr>
          <w:rFonts w:ascii="Times New Roman" w:hAnsi="Times New Roman" w:cs="Times New Roman"/>
          <w:b/>
          <w:bCs/>
          <w:i/>
          <w:iCs/>
          <w:sz w:val="24"/>
          <w:szCs w:val="24"/>
        </w:rPr>
        <w:t>Journal of Management Studies</w:t>
      </w:r>
      <w:r w:rsidRPr="004664FE">
        <w:rPr>
          <w:rFonts w:ascii="Times New Roman" w:hAnsi="Times New Roman" w:cs="Times New Roman"/>
          <w:i/>
          <w:iCs/>
          <w:sz w:val="24"/>
          <w:szCs w:val="24"/>
        </w:rPr>
        <w:t>,</w:t>
      </w:r>
      <w:r w:rsidRPr="004664FE">
        <w:rPr>
          <w:rFonts w:ascii="Times New Roman" w:hAnsi="Times New Roman" w:cs="Times New Roman"/>
          <w:sz w:val="24"/>
          <w:szCs w:val="24"/>
        </w:rPr>
        <w:t xml:space="preserve"> 45(1): 147–168.</w:t>
      </w:r>
    </w:p>
    <w:p w14:paraId="41403E32" w14:textId="21634AEA" w:rsidR="00DA0A65" w:rsidRPr="004664FE" w:rsidRDefault="008968D6" w:rsidP="00DA0A65">
      <w:pPr>
        <w:spacing w:after="120" w:line="240" w:lineRule="auto"/>
        <w:ind w:left="426" w:hanging="426"/>
        <w:jc w:val="both"/>
        <w:rPr>
          <w:rFonts w:ascii="Times New Roman" w:hAnsi="Times New Roman" w:cs="Times New Roman"/>
          <w:b/>
          <w:i/>
          <w:sz w:val="24"/>
        </w:rPr>
      </w:pPr>
      <w:r w:rsidRPr="004664FE">
        <w:rPr>
          <w:rFonts w:ascii="Times New Roman" w:hAnsi="Times New Roman" w:cs="Times New Roman"/>
          <w:sz w:val="24"/>
        </w:rPr>
        <w:t xml:space="preserve">Bai, Y., Song, S., Jiao, J., &amp; Yang, R. (2019). The impacts of government R&amp;D subsidies on green innovation: Evidence from Chinese energy-intensive firms. </w:t>
      </w:r>
      <w:r w:rsidRPr="004664FE">
        <w:rPr>
          <w:rFonts w:ascii="Times New Roman" w:hAnsi="Times New Roman" w:cs="Times New Roman"/>
          <w:b/>
          <w:i/>
          <w:sz w:val="24"/>
        </w:rPr>
        <w:t>Journal of Cleaner Production.</w:t>
      </w:r>
    </w:p>
    <w:p w14:paraId="589ED2EA" w14:textId="793DC31A"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lastRenderedPageBreak/>
        <w:t>Balasubramanian, N., &amp; Lee, J. (2008). Firm age and innovation. </w:t>
      </w:r>
      <w:r w:rsidRPr="004664FE">
        <w:rPr>
          <w:rFonts w:ascii="Times New Roman" w:hAnsi="Times New Roman" w:cs="Times New Roman"/>
          <w:b/>
          <w:i/>
          <w:color w:val="222222"/>
          <w:sz w:val="24"/>
          <w:shd w:val="clear" w:color="auto" w:fill="FFFFFF"/>
        </w:rPr>
        <w:t>Industrial and Corporate Change</w:t>
      </w:r>
      <w:r w:rsidRPr="004664FE">
        <w:rPr>
          <w:rFonts w:ascii="Times New Roman" w:hAnsi="Times New Roman" w:cs="Times New Roman"/>
          <w:color w:val="222222"/>
          <w:sz w:val="24"/>
          <w:shd w:val="clear" w:color="auto" w:fill="FFFFFF"/>
        </w:rPr>
        <w:t>, </w:t>
      </w:r>
      <w:r w:rsidRPr="004664FE">
        <w:rPr>
          <w:rFonts w:ascii="Times New Roman" w:hAnsi="Times New Roman" w:cs="Times New Roman"/>
          <w:i/>
          <w:color w:val="222222"/>
          <w:sz w:val="24"/>
          <w:shd w:val="clear" w:color="auto" w:fill="FFFFFF"/>
        </w:rPr>
        <w:t>17</w:t>
      </w:r>
      <w:r w:rsidRPr="004664FE">
        <w:rPr>
          <w:rFonts w:ascii="Times New Roman" w:hAnsi="Times New Roman" w:cs="Times New Roman"/>
          <w:color w:val="222222"/>
          <w:sz w:val="24"/>
          <w:shd w:val="clear" w:color="auto" w:fill="FFFFFF"/>
        </w:rPr>
        <w:t>(5): 1019-1047.</w:t>
      </w:r>
    </w:p>
    <w:p w14:paraId="600E312C" w14:textId="77777777" w:rsidR="00DA0A65" w:rsidRPr="004664FE" w:rsidRDefault="008968D6" w:rsidP="00DA0A65">
      <w:pPr>
        <w:spacing w:after="120" w:line="240"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t>Balasubramanian, S., Shukla, V., Mangla, S., &amp; Chanchaichujit, J. (2020). Do firm characteristics affect environmental sustainability? A literature review</w:t>
      </w:r>
      <w:r w:rsidRPr="004664FE">
        <w:rPr>
          <w:rFonts w:ascii="Times New Roman" w:hAnsi="Times New Roman"/>
          <w:color w:val="222222"/>
          <w:sz w:val="24"/>
          <w:shd w:val="clear" w:color="auto" w:fill="FFFFFF"/>
        </w:rPr>
        <w:t>‐</w:t>
      </w:r>
      <w:r w:rsidRPr="004664FE">
        <w:rPr>
          <w:rFonts w:ascii="Times New Roman" w:hAnsi="Times New Roman" w:cs="Times New Roman"/>
          <w:color w:val="222222"/>
          <w:sz w:val="24"/>
          <w:szCs w:val="24"/>
          <w:shd w:val="clear" w:color="auto" w:fill="FFFFFF"/>
        </w:rPr>
        <w:t>based assessment. </w:t>
      </w:r>
      <w:r w:rsidRPr="004664FE">
        <w:rPr>
          <w:rFonts w:ascii="Times New Roman" w:hAnsi="Times New Roman" w:cs="Times New Roman"/>
          <w:b/>
          <w:bCs/>
          <w:i/>
          <w:iCs/>
          <w:color w:val="222222"/>
          <w:sz w:val="24"/>
          <w:szCs w:val="24"/>
          <w:shd w:val="clear" w:color="auto" w:fill="FFFFFF"/>
        </w:rPr>
        <w:t>Business Strategy and the Environment</w:t>
      </w:r>
      <w:r w:rsidRPr="004664FE">
        <w:rPr>
          <w:rFonts w:ascii="Times New Roman" w:hAnsi="Times New Roman" w:cs="Times New Roman"/>
          <w:color w:val="222222"/>
          <w:sz w:val="24"/>
          <w:szCs w:val="24"/>
          <w:shd w:val="clear" w:color="auto" w:fill="FFFFFF"/>
        </w:rPr>
        <w:t>.</w:t>
      </w:r>
    </w:p>
    <w:p w14:paraId="068F6EE5" w14:textId="77777777" w:rsidR="00D57497" w:rsidRPr="004664FE" w:rsidRDefault="008968D6" w:rsidP="00D57497">
      <w:pPr>
        <w:spacing w:after="120" w:line="240" w:lineRule="auto"/>
        <w:ind w:left="426" w:hanging="426"/>
        <w:jc w:val="both"/>
        <w:rPr>
          <w:rFonts w:ascii="Times New Roman" w:hAnsi="Times New Roman" w:cs="Times New Roman"/>
          <w:color w:val="222222"/>
          <w:sz w:val="24"/>
          <w:szCs w:val="24"/>
          <w:shd w:val="clear" w:color="auto" w:fill="FFFFFF"/>
        </w:rPr>
      </w:pPr>
      <w:r w:rsidRPr="0083110A">
        <w:rPr>
          <w:rFonts w:ascii="Times New Roman" w:hAnsi="Times New Roman" w:cs="Times New Roman"/>
          <w:color w:val="222222"/>
          <w:sz w:val="24"/>
          <w:shd w:val="clear" w:color="auto" w:fill="FFFFFF"/>
          <w:lang w:val="es-ES"/>
        </w:rPr>
        <w:t xml:space="preserve">Barasa, L., Knoben, J., Vermeulen, P., Kimuyu, P., &amp; Kinyanjui, B. (2017). </w:t>
      </w:r>
      <w:r w:rsidRPr="004664FE">
        <w:rPr>
          <w:rFonts w:ascii="Times New Roman" w:hAnsi="Times New Roman" w:cs="Times New Roman"/>
          <w:color w:val="222222"/>
          <w:sz w:val="24"/>
          <w:shd w:val="clear" w:color="auto" w:fill="FFFFFF"/>
        </w:rPr>
        <w:t xml:space="preserve">Institutions, </w:t>
      </w:r>
      <w:proofErr w:type="gramStart"/>
      <w:r w:rsidRPr="004664FE">
        <w:rPr>
          <w:rFonts w:ascii="Times New Roman" w:hAnsi="Times New Roman" w:cs="Times New Roman"/>
          <w:color w:val="222222"/>
          <w:sz w:val="24"/>
          <w:shd w:val="clear" w:color="auto" w:fill="FFFFFF"/>
        </w:rPr>
        <w:t>resources</w:t>
      </w:r>
      <w:proofErr w:type="gramEnd"/>
      <w:r w:rsidRPr="004664FE">
        <w:rPr>
          <w:rFonts w:ascii="Times New Roman" w:hAnsi="Times New Roman" w:cs="Times New Roman"/>
          <w:color w:val="222222"/>
          <w:sz w:val="24"/>
          <w:shd w:val="clear" w:color="auto" w:fill="FFFFFF"/>
        </w:rPr>
        <w:t xml:space="preserve"> and innovation in East Africa: A firm level approach. </w:t>
      </w:r>
      <w:r w:rsidRPr="004664FE">
        <w:rPr>
          <w:rFonts w:ascii="Times New Roman" w:hAnsi="Times New Roman" w:cs="Times New Roman"/>
          <w:b/>
          <w:bCs/>
          <w:i/>
          <w:iCs/>
          <w:color w:val="222222"/>
          <w:sz w:val="24"/>
          <w:shd w:val="clear" w:color="auto" w:fill="FFFFFF"/>
        </w:rPr>
        <w:t>Research Policy</w:t>
      </w:r>
      <w:r w:rsidRPr="004664FE">
        <w:rPr>
          <w:rFonts w:ascii="Times New Roman" w:hAnsi="Times New Roman" w:cs="Times New Roman"/>
          <w:color w:val="222222"/>
          <w:sz w:val="24"/>
          <w:szCs w:val="24"/>
          <w:shd w:val="clear" w:color="auto" w:fill="FFFFFF"/>
        </w:rPr>
        <w:t>, 46(1), 280-291.</w:t>
      </w:r>
    </w:p>
    <w:p w14:paraId="134CFC4C" w14:textId="202777AF" w:rsidR="00D57497" w:rsidRPr="004664FE" w:rsidRDefault="008968D6" w:rsidP="00D57497">
      <w:pPr>
        <w:spacing w:after="120" w:line="240"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t>Barbieri, N., Marzucchi, A., &amp; Rizzo, U. (2020). Knowledge sources and impacts on subsequent inventions: Do green technologies differ from non-green ones?. </w:t>
      </w:r>
      <w:r w:rsidRPr="004664FE">
        <w:rPr>
          <w:rFonts w:ascii="Times New Roman" w:hAnsi="Times New Roman" w:cs="Times New Roman"/>
          <w:b/>
          <w:bCs/>
          <w:i/>
          <w:iCs/>
          <w:color w:val="222222"/>
          <w:sz w:val="24"/>
          <w:szCs w:val="24"/>
          <w:shd w:val="clear" w:color="auto" w:fill="FFFFFF"/>
        </w:rPr>
        <w:t>Research Policy</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49</w:t>
      </w:r>
      <w:r w:rsidRPr="004664FE">
        <w:rPr>
          <w:rFonts w:ascii="Times New Roman" w:hAnsi="Times New Roman" w:cs="Times New Roman"/>
          <w:color w:val="222222"/>
          <w:sz w:val="24"/>
          <w:szCs w:val="24"/>
          <w:shd w:val="clear" w:color="auto" w:fill="FFFFFF"/>
        </w:rPr>
        <w:t>(2),</w:t>
      </w:r>
      <w:r w:rsidRPr="004664FE">
        <w:rPr>
          <w:rFonts w:ascii="Times New Roman" w:hAnsi="Times New Roman" w:cs="Times New Roman"/>
          <w:sz w:val="24"/>
          <w:szCs w:val="24"/>
        </w:rPr>
        <w:t xml:space="preserve"> 103901.</w:t>
      </w:r>
    </w:p>
    <w:p w14:paraId="4D6CFB9C" w14:textId="5172C351" w:rsidR="00DA0A65" w:rsidRPr="004664FE" w:rsidRDefault="008968D6" w:rsidP="00D57497">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Barron, D. N., West, E., &amp; Hannan, M. T. (1994). A time to grow and a time to die: Growth and mortality of credit unions in New York City, 1914-1990. </w:t>
      </w:r>
      <w:r w:rsidRPr="004664FE">
        <w:rPr>
          <w:rFonts w:ascii="Times New Roman" w:hAnsi="Times New Roman" w:cs="Times New Roman"/>
          <w:b/>
          <w:i/>
          <w:color w:val="222222"/>
          <w:sz w:val="24"/>
          <w:shd w:val="clear" w:color="auto" w:fill="FFFFFF"/>
        </w:rPr>
        <w:t>American Journal of Sociology</w:t>
      </w:r>
      <w:r w:rsidRPr="004664FE">
        <w:rPr>
          <w:rFonts w:ascii="Times New Roman" w:hAnsi="Times New Roman" w:cs="Times New Roman"/>
          <w:b/>
          <w:color w:val="222222"/>
          <w:sz w:val="24"/>
          <w:shd w:val="clear" w:color="auto" w:fill="FFFFFF"/>
        </w:rPr>
        <w:t>,</w:t>
      </w:r>
      <w:r w:rsidRPr="004664FE">
        <w:rPr>
          <w:rFonts w:ascii="Times New Roman" w:hAnsi="Times New Roman" w:cs="Times New Roman"/>
          <w:color w:val="222222"/>
          <w:sz w:val="24"/>
          <w:shd w:val="clear" w:color="auto" w:fill="FFFFFF"/>
        </w:rPr>
        <w:t> </w:t>
      </w:r>
      <w:r w:rsidRPr="004664FE">
        <w:rPr>
          <w:rFonts w:ascii="Times New Roman" w:hAnsi="Times New Roman" w:cs="Times New Roman"/>
          <w:i/>
          <w:color w:val="222222"/>
          <w:sz w:val="24"/>
          <w:shd w:val="clear" w:color="auto" w:fill="FFFFFF"/>
        </w:rPr>
        <w:t>100</w:t>
      </w:r>
      <w:r w:rsidRPr="004664FE">
        <w:rPr>
          <w:rFonts w:ascii="Times New Roman" w:hAnsi="Times New Roman" w:cs="Times New Roman"/>
          <w:color w:val="222222"/>
          <w:sz w:val="24"/>
          <w:shd w:val="clear" w:color="auto" w:fill="FFFFFF"/>
        </w:rPr>
        <w:t>(2): 381-421.</w:t>
      </w:r>
    </w:p>
    <w:p w14:paraId="68FD71E7" w14:textId="5286097A" w:rsidR="00DA0A65" w:rsidRPr="004664FE" w:rsidRDefault="008968D6" w:rsidP="00DA0A65">
      <w:pPr>
        <w:spacing w:after="120" w:line="240" w:lineRule="auto"/>
        <w:ind w:left="426" w:hanging="426"/>
        <w:jc w:val="both"/>
        <w:rPr>
          <w:rFonts w:ascii="Times New Roman" w:hAnsi="Times New Roman" w:cs="Times New Roman"/>
          <w:sz w:val="24"/>
          <w:szCs w:val="24"/>
        </w:rPr>
      </w:pPr>
      <w:r w:rsidRPr="004664FE">
        <w:rPr>
          <w:rFonts w:ascii="Times New Roman" w:hAnsi="Times New Roman" w:cs="Times New Roman"/>
          <w:sz w:val="24"/>
          <w:szCs w:val="24"/>
        </w:rPr>
        <w:t xml:space="preserve">Beise, M., &amp; Rennings, K. (2005). Lead markets and regulation: a framework for analyzing the international diffusion of environmental innovations. </w:t>
      </w:r>
      <w:r w:rsidRPr="004664FE">
        <w:rPr>
          <w:rFonts w:ascii="Times New Roman" w:hAnsi="Times New Roman" w:cs="Times New Roman"/>
          <w:b/>
          <w:bCs/>
          <w:i/>
          <w:iCs/>
          <w:sz w:val="24"/>
          <w:szCs w:val="24"/>
        </w:rPr>
        <w:t>Ecological Economics</w:t>
      </w:r>
      <w:r w:rsidRPr="004664FE">
        <w:rPr>
          <w:rFonts w:ascii="Times New Roman" w:hAnsi="Times New Roman" w:cs="Times New Roman"/>
          <w:sz w:val="24"/>
          <w:szCs w:val="24"/>
        </w:rPr>
        <w:t>, 52(1), 5-17.</w:t>
      </w:r>
    </w:p>
    <w:p w14:paraId="5E0789C7" w14:textId="77777777" w:rsidR="00DA0A65" w:rsidRPr="004664FE" w:rsidRDefault="008968D6" w:rsidP="00DA0A65">
      <w:pPr>
        <w:spacing w:after="120" w:line="240" w:lineRule="auto"/>
        <w:ind w:left="426" w:hanging="426"/>
        <w:jc w:val="both"/>
        <w:rPr>
          <w:rFonts w:ascii="Times New Roman" w:hAnsi="Times New Roman" w:cs="Times New Roman"/>
          <w:sz w:val="24"/>
          <w:szCs w:val="24"/>
        </w:rPr>
      </w:pPr>
      <w:r w:rsidRPr="004664FE">
        <w:rPr>
          <w:rFonts w:ascii="Times New Roman" w:hAnsi="Times New Roman" w:cs="Times New Roman"/>
          <w:sz w:val="24"/>
          <w:szCs w:val="24"/>
        </w:rPr>
        <w:t xml:space="preserve">Belderbos, R., Faems, D., Leten, B., &amp; Looy, B. V. (2010). Technological activities and their impact on the financial performance of the firm: Exploitation and exploration within and between firms. </w:t>
      </w:r>
      <w:r w:rsidRPr="004664FE">
        <w:rPr>
          <w:rFonts w:ascii="Times New Roman" w:hAnsi="Times New Roman" w:cs="Times New Roman"/>
          <w:b/>
          <w:bCs/>
          <w:i/>
          <w:iCs/>
          <w:sz w:val="24"/>
          <w:szCs w:val="24"/>
        </w:rPr>
        <w:t>Journal of Product Innovation Management</w:t>
      </w:r>
      <w:r w:rsidRPr="004664FE">
        <w:rPr>
          <w:rFonts w:ascii="Times New Roman" w:hAnsi="Times New Roman" w:cs="Times New Roman"/>
          <w:sz w:val="24"/>
          <w:szCs w:val="24"/>
        </w:rPr>
        <w:t>, 27(6), 869-882.</w:t>
      </w:r>
    </w:p>
    <w:p w14:paraId="623D6F7B"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Berrone, P., Fosfuri, A., Gelabert, L., &amp; Gomez</w:t>
      </w:r>
      <w:r w:rsidRPr="004664FE">
        <w:rPr>
          <w:rFonts w:ascii="Times New Roman" w:hAnsi="Times New Roman"/>
          <w:sz w:val="24"/>
        </w:rPr>
        <w:t>‐</w:t>
      </w:r>
      <w:r w:rsidRPr="004664FE">
        <w:rPr>
          <w:rFonts w:ascii="Times New Roman" w:hAnsi="Times New Roman" w:cs="Times New Roman"/>
          <w:sz w:val="24"/>
        </w:rPr>
        <w:t xml:space="preserve">Mejia, L. R. (2013). Necessity as the mother of ‘green’inventions: Institutional pressures and environmental innovations. </w:t>
      </w:r>
      <w:r w:rsidRPr="004664FE">
        <w:rPr>
          <w:rFonts w:ascii="Times New Roman" w:hAnsi="Times New Roman" w:cs="Times New Roman"/>
          <w:b/>
          <w:i/>
          <w:sz w:val="24"/>
        </w:rPr>
        <w:t>Strategic Management Journal</w:t>
      </w:r>
      <w:r w:rsidRPr="004664FE">
        <w:rPr>
          <w:rFonts w:ascii="Times New Roman" w:hAnsi="Times New Roman" w:cs="Times New Roman"/>
          <w:sz w:val="24"/>
        </w:rPr>
        <w:t>, 34(8): 891-909.</w:t>
      </w:r>
    </w:p>
    <w:p w14:paraId="69EAB9DE" w14:textId="7B267CE3"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Blind, K., Cremers, K., &amp; Mueller, E. (2009). The influence of strategic patenting on companies’ patent portfolios. </w:t>
      </w:r>
      <w:r w:rsidRPr="004664FE">
        <w:rPr>
          <w:rFonts w:ascii="Times New Roman" w:hAnsi="Times New Roman" w:cs="Times New Roman"/>
          <w:b/>
          <w:i/>
          <w:sz w:val="24"/>
        </w:rPr>
        <w:t>Research Policy</w:t>
      </w:r>
      <w:r w:rsidRPr="004664FE">
        <w:rPr>
          <w:rFonts w:ascii="Times New Roman" w:hAnsi="Times New Roman" w:cs="Times New Roman"/>
          <w:sz w:val="24"/>
        </w:rPr>
        <w:t>, 38(2): 428-436.</w:t>
      </w:r>
    </w:p>
    <w:p w14:paraId="6CE960F9" w14:textId="0E91FC11"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Bloomberg. (2019). Trump Again Seeks Deep Cuts in Renewable Energy Funding. Available at: </w:t>
      </w:r>
      <w:hyperlink r:id="rId8" w:history="1">
        <w:r w:rsidRPr="004664FE">
          <w:rPr>
            <w:rStyle w:val="Hipervnculo"/>
            <w:rFonts w:ascii="Times New Roman" w:hAnsi="Times New Roman" w:cs="Times New Roman"/>
            <w:sz w:val="24"/>
          </w:rPr>
          <w:t>https://www.bloomberg.com/news/articles/2019-03-07/trump-said-to-again-seek-deep-cuts-in-renewable-energy-funding</w:t>
        </w:r>
      </w:hyperlink>
      <w:r w:rsidRPr="004664FE">
        <w:rPr>
          <w:rFonts w:ascii="Times New Roman" w:hAnsi="Times New Roman" w:cs="Times New Roman"/>
          <w:sz w:val="24"/>
        </w:rPr>
        <w:t xml:space="preserve"> </w:t>
      </w:r>
    </w:p>
    <w:p w14:paraId="503A1CCD" w14:textId="117FC55C"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Bohnsack, R. (2018). Local niches and firm responses in sustainability transitions: The case of low-emission vehicles in China. </w:t>
      </w:r>
      <w:r w:rsidRPr="004664FE">
        <w:rPr>
          <w:rFonts w:ascii="Times New Roman" w:hAnsi="Times New Roman" w:cs="Times New Roman"/>
          <w:b/>
          <w:i/>
          <w:sz w:val="24"/>
        </w:rPr>
        <w:t>Technovation</w:t>
      </w:r>
      <w:r w:rsidRPr="004664FE">
        <w:rPr>
          <w:rFonts w:ascii="Times New Roman" w:hAnsi="Times New Roman" w:cs="Times New Roman"/>
          <w:sz w:val="24"/>
        </w:rPr>
        <w:t>, 70: 20-32.</w:t>
      </w:r>
    </w:p>
    <w:p w14:paraId="606FD77C" w14:textId="6DC32233"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color w:val="222222"/>
          <w:sz w:val="24"/>
          <w:shd w:val="clear" w:color="auto" w:fill="FFFFFF"/>
        </w:rPr>
        <w:t>Bolívar-Ramos, M. T. (2017). The relation between R&amp;D spending and patents: The moderating effect of collaboration networks. </w:t>
      </w:r>
      <w:r w:rsidRPr="004664FE">
        <w:rPr>
          <w:rFonts w:ascii="Times New Roman" w:hAnsi="Times New Roman" w:cs="Times New Roman"/>
          <w:b/>
          <w:i/>
          <w:color w:val="222222"/>
          <w:sz w:val="24"/>
          <w:shd w:val="clear" w:color="auto" w:fill="FFFFFF"/>
        </w:rPr>
        <w:t>Journal of Engineering and Technology Management</w:t>
      </w:r>
      <w:r w:rsidRPr="004664FE">
        <w:rPr>
          <w:rFonts w:ascii="Times New Roman" w:hAnsi="Times New Roman" w:cs="Times New Roman"/>
          <w:color w:val="222222"/>
          <w:sz w:val="24"/>
          <w:shd w:val="clear" w:color="auto" w:fill="FFFFFF"/>
        </w:rPr>
        <w:t>, </w:t>
      </w:r>
      <w:r w:rsidRPr="004664FE">
        <w:rPr>
          <w:rFonts w:ascii="Times New Roman" w:hAnsi="Times New Roman" w:cs="Times New Roman"/>
          <w:i/>
          <w:color w:val="222222"/>
          <w:sz w:val="24"/>
          <w:shd w:val="clear" w:color="auto" w:fill="FFFFFF"/>
        </w:rPr>
        <w:t>46</w:t>
      </w:r>
      <w:r w:rsidRPr="004664FE">
        <w:rPr>
          <w:rFonts w:ascii="Times New Roman" w:hAnsi="Times New Roman" w:cs="Times New Roman"/>
          <w:color w:val="222222"/>
          <w:sz w:val="24"/>
          <w:shd w:val="clear" w:color="auto" w:fill="FFFFFF"/>
        </w:rPr>
        <w:t>: 26-38.</w:t>
      </w:r>
    </w:p>
    <w:p w14:paraId="3DAAA948" w14:textId="7203FF2D" w:rsidR="00DA0A65" w:rsidRPr="004664FE" w:rsidRDefault="008968D6" w:rsidP="00DA0A65">
      <w:pPr>
        <w:spacing w:after="120" w:line="240" w:lineRule="auto"/>
        <w:ind w:left="426" w:hanging="426"/>
        <w:rPr>
          <w:rFonts w:ascii="Times New Roman" w:hAnsi="Times New Roman" w:cs="Times New Roman"/>
          <w:sz w:val="24"/>
        </w:rPr>
      </w:pPr>
      <w:r w:rsidRPr="004664FE">
        <w:rPr>
          <w:rFonts w:ascii="Times New Roman" w:hAnsi="Times New Roman" w:cs="Times New Roman"/>
          <w:sz w:val="24"/>
        </w:rPr>
        <w:t xml:space="preserve">Business Wire. (2019).  Analysis on the $28.9 Billion Green Technology &amp; Sustainability Market (2019-2024). Available at: </w:t>
      </w:r>
      <w:hyperlink r:id="rId9" w:history="1">
        <w:r w:rsidRPr="004664FE">
          <w:rPr>
            <w:rStyle w:val="Hipervnculo"/>
            <w:rFonts w:ascii="Times New Roman" w:hAnsi="Times New Roman" w:cs="Times New Roman"/>
            <w:sz w:val="24"/>
          </w:rPr>
          <w:t>https://www.businesswire.com/news/home/20190924005777/en/Analysis-28.9-Billion-Green-Technology-Sustainability-Market</w:t>
        </w:r>
      </w:hyperlink>
      <w:r w:rsidRPr="004664FE">
        <w:rPr>
          <w:rFonts w:ascii="Times New Roman" w:hAnsi="Times New Roman" w:cs="Times New Roman"/>
          <w:sz w:val="24"/>
        </w:rPr>
        <w:t xml:space="preserve"> </w:t>
      </w:r>
    </w:p>
    <w:p w14:paraId="572D04F3" w14:textId="1E615CE8"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lang w:val="fr-FR"/>
        </w:rPr>
        <w:t xml:space="preserve">Cainelli, G., De Marchi, V., &amp; Grandinetti, R. (2015). </w:t>
      </w:r>
      <w:r w:rsidRPr="004664FE">
        <w:rPr>
          <w:rFonts w:ascii="Times New Roman" w:hAnsi="Times New Roman" w:cs="Times New Roman"/>
          <w:sz w:val="24"/>
        </w:rPr>
        <w:t xml:space="preserve">Does the development of environmental innovation require different resources? Evidence from Spanish manufacturing firms. </w:t>
      </w:r>
      <w:r w:rsidRPr="004664FE">
        <w:rPr>
          <w:rFonts w:ascii="Times New Roman" w:hAnsi="Times New Roman" w:cs="Times New Roman"/>
          <w:b/>
          <w:i/>
          <w:sz w:val="24"/>
        </w:rPr>
        <w:t>Journal of Cleaner Production</w:t>
      </w:r>
      <w:r w:rsidRPr="004664FE">
        <w:rPr>
          <w:rFonts w:ascii="Times New Roman" w:hAnsi="Times New Roman" w:cs="Times New Roman"/>
          <w:sz w:val="24"/>
        </w:rPr>
        <w:t>, 94: 211-220.</w:t>
      </w:r>
    </w:p>
    <w:p w14:paraId="7523B74A" w14:textId="1835F7FE"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Carrillo-Hermosilla, J., Del Río, P., &amp; Könnölä, T. (2010). Diversity of eco-innovations: Reflections from selected case studies. </w:t>
      </w:r>
      <w:r w:rsidRPr="004664FE">
        <w:rPr>
          <w:rFonts w:ascii="Times New Roman" w:hAnsi="Times New Roman" w:cs="Times New Roman"/>
          <w:b/>
          <w:i/>
          <w:color w:val="222222"/>
          <w:sz w:val="24"/>
          <w:shd w:val="clear" w:color="auto" w:fill="FFFFFF"/>
        </w:rPr>
        <w:t>Journal of Cleaner Production</w:t>
      </w:r>
      <w:r w:rsidRPr="004664FE">
        <w:rPr>
          <w:rFonts w:ascii="Times New Roman" w:hAnsi="Times New Roman" w:cs="Times New Roman"/>
          <w:color w:val="222222"/>
          <w:sz w:val="24"/>
          <w:shd w:val="clear" w:color="auto" w:fill="FFFFFF"/>
        </w:rPr>
        <w:t>, </w:t>
      </w:r>
      <w:r w:rsidRPr="004664FE">
        <w:rPr>
          <w:rFonts w:ascii="Times New Roman" w:hAnsi="Times New Roman" w:cs="Times New Roman"/>
          <w:i/>
          <w:color w:val="222222"/>
          <w:sz w:val="24"/>
          <w:shd w:val="clear" w:color="auto" w:fill="FFFFFF"/>
        </w:rPr>
        <w:t>18</w:t>
      </w:r>
      <w:r w:rsidRPr="004664FE">
        <w:rPr>
          <w:rFonts w:ascii="Times New Roman" w:hAnsi="Times New Roman" w:cs="Times New Roman"/>
          <w:color w:val="222222"/>
          <w:sz w:val="24"/>
          <w:shd w:val="clear" w:color="auto" w:fill="FFFFFF"/>
        </w:rPr>
        <w:t>(10-11): 1073-1083.</w:t>
      </w:r>
    </w:p>
    <w:p w14:paraId="396B760A" w14:textId="6977783A" w:rsidR="00EF0783" w:rsidRPr="004664FE" w:rsidRDefault="008968D6" w:rsidP="00EF0783">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Caviggioli, F. (2016). Technology fusion: Identification and analysis of the drivers of technology convergence using patent data. </w:t>
      </w:r>
      <w:r w:rsidRPr="004664FE">
        <w:rPr>
          <w:rFonts w:ascii="Times New Roman" w:hAnsi="Times New Roman" w:cs="Times New Roman"/>
          <w:b/>
          <w:i/>
          <w:sz w:val="24"/>
        </w:rPr>
        <w:t>Technovation</w:t>
      </w:r>
      <w:r w:rsidRPr="004664FE">
        <w:rPr>
          <w:rFonts w:ascii="Times New Roman" w:hAnsi="Times New Roman" w:cs="Times New Roman"/>
          <w:sz w:val="24"/>
        </w:rPr>
        <w:t>, 55: 22-32.</w:t>
      </w:r>
    </w:p>
    <w:p w14:paraId="699B9FF0" w14:textId="6EF14831" w:rsidR="00EF0783" w:rsidRPr="004664FE" w:rsidRDefault="008968D6" w:rsidP="00EF0783">
      <w:pPr>
        <w:spacing w:after="120" w:line="240" w:lineRule="auto"/>
        <w:ind w:left="426" w:hanging="426"/>
        <w:jc w:val="both"/>
        <w:rPr>
          <w:rFonts w:ascii="Times New Roman" w:hAnsi="Times New Roman" w:cs="Times New Roman"/>
          <w:sz w:val="24"/>
          <w:szCs w:val="24"/>
        </w:rPr>
      </w:pPr>
      <w:r w:rsidRPr="004664FE">
        <w:rPr>
          <w:rFonts w:ascii="Times New Roman" w:hAnsi="Times New Roman" w:cs="Times New Roman"/>
          <w:color w:val="222222"/>
          <w:sz w:val="24"/>
          <w:szCs w:val="24"/>
          <w:shd w:val="clear" w:color="auto" w:fill="FFFFFF"/>
        </w:rPr>
        <w:lastRenderedPageBreak/>
        <w:t>Cecere, G., Corrocher, N., Gossart, C., &amp; Ozman, M. (2014). Lock-in and path dependence: an evolutionary approach to eco-innovations. </w:t>
      </w:r>
      <w:r w:rsidRPr="004664FE">
        <w:rPr>
          <w:rFonts w:ascii="Times New Roman" w:hAnsi="Times New Roman" w:cs="Times New Roman"/>
          <w:b/>
          <w:bCs/>
          <w:i/>
          <w:iCs/>
          <w:color w:val="222222"/>
          <w:sz w:val="24"/>
          <w:szCs w:val="24"/>
          <w:shd w:val="clear" w:color="auto" w:fill="FFFFFF"/>
        </w:rPr>
        <w:t>Journal of Evolutionary Economics</w:t>
      </w:r>
      <w:r w:rsidRPr="004664FE">
        <w:rPr>
          <w:rFonts w:ascii="Times New Roman" w:hAnsi="Times New Roman" w:cs="Times New Roman"/>
          <w:b/>
          <w:bCs/>
          <w:color w:val="222222"/>
          <w:sz w:val="24"/>
          <w:szCs w:val="24"/>
          <w:shd w:val="clear" w:color="auto" w:fill="FFFFFF"/>
        </w:rPr>
        <w:t>,</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24</w:t>
      </w:r>
      <w:r w:rsidRPr="004664FE">
        <w:rPr>
          <w:rFonts w:ascii="Times New Roman" w:hAnsi="Times New Roman" w:cs="Times New Roman"/>
          <w:color w:val="222222"/>
          <w:sz w:val="24"/>
          <w:szCs w:val="24"/>
          <w:shd w:val="clear" w:color="auto" w:fill="FFFFFF"/>
        </w:rPr>
        <w:t>(5), 1037-1065.</w:t>
      </w:r>
    </w:p>
    <w:p w14:paraId="6529B5B4" w14:textId="274C48AD"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Chen, Y. S. (2008). The driver of green innovation and green image–green core competence. </w:t>
      </w:r>
      <w:r w:rsidRPr="004664FE">
        <w:rPr>
          <w:rFonts w:ascii="Times New Roman" w:hAnsi="Times New Roman" w:cs="Times New Roman"/>
          <w:b/>
          <w:i/>
          <w:sz w:val="24"/>
        </w:rPr>
        <w:t>Journal of Business Ethics</w:t>
      </w:r>
      <w:r w:rsidRPr="004664FE">
        <w:rPr>
          <w:rFonts w:ascii="Times New Roman" w:hAnsi="Times New Roman" w:cs="Times New Roman"/>
          <w:sz w:val="24"/>
        </w:rPr>
        <w:t>, 81(3): 531-543.</w:t>
      </w:r>
    </w:p>
    <w:p w14:paraId="0C2CB1E8" w14:textId="348CD523"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Chung, K. H., &amp; Pruitt, S. W. (1994). A simple approximation of Tobin's q. </w:t>
      </w:r>
      <w:r w:rsidRPr="004664FE">
        <w:rPr>
          <w:rFonts w:ascii="Times New Roman" w:hAnsi="Times New Roman" w:cs="Times New Roman"/>
          <w:b/>
          <w:i/>
          <w:sz w:val="24"/>
        </w:rPr>
        <w:t>Financial Management</w:t>
      </w:r>
      <w:r w:rsidRPr="004664FE">
        <w:rPr>
          <w:rFonts w:ascii="Times New Roman" w:hAnsi="Times New Roman" w:cs="Times New Roman"/>
          <w:sz w:val="24"/>
        </w:rPr>
        <w:t>, 70-74.</w:t>
      </w:r>
    </w:p>
    <w:p w14:paraId="29B1B9E5" w14:textId="19D973B6"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Clarkson, G., &amp; Toh, P. K. (2010). ‘Keep out’signs: the role of deterrence in the competition for resources. </w:t>
      </w:r>
      <w:r w:rsidRPr="004664FE">
        <w:rPr>
          <w:rFonts w:ascii="Times New Roman" w:hAnsi="Times New Roman" w:cs="Times New Roman"/>
          <w:b/>
          <w:i/>
          <w:sz w:val="24"/>
        </w:rPr>
        <w:t>Strategic Management Journal</w:t>
      </w:r>
      <w:r w:rsidRPr="004664FE">
        <w:rPr>
          <w:rFonts w:ascii="Times New Roman" w:hAnsi="Times New Roman" w:cs="Times New Roman"/>
          <w:sz w:val="24"/>
        </w:rPr>
        <w:t>, 31(11): 1202-1225.</w:t>
      </w:r>
    </w:p>
    <w:p w14:paraId="22354AE7" w14:textId="4638D858"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Coad, A., Segarra, A., &amp; Teruel, M. (2013). Like milk or wine: Does firm performance improve with age?. </w:t>
      </w:r>
      <w:r w:rsidRPr="004664FE">
        <w:rPr>
          <w:rFonts w:ascii="Times New Roman" w:hAnsi="Times New Roman" w:cs="Times New Roman"/>
          <w:b/>
          <w:i/>
          <w:color w:val="222222"/>
          <w:sz w:val="24"/>
          <w:shd w:val="clear" w:color="auto" w:fill="FFFFFF"/>
        </w:rPr>
        <w:t>Structural Change and Economic Dynamics</w:t>
      </w:r>
      <w:r w:rsidRPr="004664FE">
        <w:rPr>
          <w:rFonts w:ascii="Times New Roman" w:hAnsi="Times New Roman" w:cs="Times New Roman"/>
          <w:color w:val="222222"/>
          <w:sz w:val="24"/>
          <w:shd w:val="clear" w:color="auto" w:fill="FFFFFF"/>
        </w:rPr>
        <w:t>, 24: 173-189.</w:t>
      </w:r>
    </w:p>
    <w:p w14:paraId="7187490C" w14:textId="0DD08FE6" w:rsidR="00DA0A65" w:rsidRPr="004664FE" w:rsidRDefault="008968D6" w:rsidP="00DA0A65">
      <w:pPr>
        <w:spacing w:after="120" w:line="240" w:lineRule="auto"/>
        <w:ind w:left="426" w:hanging="426"/>
        <w:rPr>
          <w:rFonts w:ascii="Times New Roman" w:hAnsi="Times New Roman" w:cs="Times New Roman"/>
          <w:color w:val="2E2E2E"/>
          <w:sz w:val="24"/>
        </w:rPr>
      </w:pPr>
      <w:r w:rsidRPr="0083110A">
        <w:rPr>
          <w:rFonts w:ascii="Times New Roman" w:hAnsi="Times New Roman" w:cs="Times New Roman"/>
          <w:color w:val="222222"/>
          <w:sz w:val="24"/>
          <w:shd w:val="clear" w:color="auto" w:fill="FFFFFF"/>
          <w:lang w:val="es-ES"/>
        </w:rPr>
        <w:t xml:space="preserve">Coad, A., Segarra, A., &amp; Teruel, M. (2016). </w:t>
      </w:r>
      <w:r w:rsidRPr="004664FE">
        <w:rPr>
          <w:rFonts w:ascii="Times New Roman" w:hAnsi="Times New Roman" w:cs="Times New Roman"/>
          <w:color w:val="222222"/>
          <w:sz w:val="24"/>
          <w:shd w:val="clear" w:color="auto" w:fill="FFFFFF"/>
        </w:rPr>
        <w:t xml:space="preserve">Innovation and firm growth: </w:t>
      </w:r>
      <w:proofErr w:type="gramStart"/>
      <w:r w:rsidRPr="004664FE">
        <w:rPr>
          <w:rFonts w:ascii="Times New Roman" w:hAnsi="Times New Roman" w:cs="Times New Roman"/>
          <w:color w:val="222222"/>
          <w:sz w:val="24"/>
          <w:shd w:val="clear" w:color="auto" w:fill="FFFFFF"/>
        </w:rPr>
        <w:t>Does</w:t>
      </w:r>
      <w:proofErr w:type="gramEnd"/>
      <w:r w:rsidRPr="004664FE">
        <w:rPr>
          <w:rFonts w:ascii="Times New Roman" w:hAnsi="Times New Roman" w:cs="Times New Roman"/>
          <w:color w:val="222222"/>
          <w:sz w:val="24"/>
          <w:shd w:val="clear" w:color="auto" w:fill="FFFFFF"/>
        </w:rPr>
        <w:t xml:space="preserve"> firm age play a role?. </w:t>
      </w:r>
      <w:r w:rsidRPr="004664FE">
        <w:rPr>
          <w:rFonts w:ascii="Times New Roman" w:hAnsi="Times New Roman" w:cs="Times New Roman"/>
          <w:b/>
          <w:i/>
          <w:color w:val="222222"/>
          <w:sz w:val="24"/>
          <w:shd w:val="clear" w:color="auto" w:fill="FFFFFF"/>
        </w:rPr>
        <w:t>Research Policy</w:t>
      </w:r>
      <w:r w:rsidRPr="004664FE">
        <w:rPr>
          <w:rFonts w:ascii="Times New Roman" w:hAnsi="Times New Roman" w:cs="Times New Roman"/>
          <w:color w:val="222222"/>
          <w:sz w:val="24"/>
          <w:shd w:val="clear" w:color="auto" w:fill="FFFFFF"/>
        </w:rPr>
        <w:t>, </w:t>
      </w:r>
      <w:r w:rsidRPr="004664FE">
        <w:rPr>
          <w:rFonts w:ascii="Times New Roman" w:hAnsi="Times New Roman" w:cs="Times New Roman"/>
          <w:i/>
          <w:color w:val="222222"/>
          <w:sz w:val="24"/>
          <w:shd w:val="clear" w:color="auto" w:fill="FFFFFF"/>
        </w:rPr>
        <w:t>45</w:t>
      </w:r>
      <w:r w:rsidRPr="004664FE">
        <w:rPr>
          <w:rFonts w:ascii="Times New Roman" w:hAnsi="Times New Roman" w:cs="Times New Roman"/>
          <w:color w:val="222222"/>
          <w:sz w:val="24"/>
          <w:shd w:val="clear" w:color="auto" w:fill="FFFFFF"/>
        </w:rPr>
        <w:t>(2): 387-400.</w:t>
      </w:r>
    </w:p>
    <w:p w14:paraId="6E0A35FC" w14:textId="152D1B90"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Cohen, J., and Cohen, P. (1983). </w:t>
      </w:r>
      <w:r w:rsidRPr="004664FE">
        <w:rPr>
          <w:rFonts w:ascii="Times New Roman" w:hAnsi="Times New Roman" w:cs="Times New Roman"/>
          <w:b/>
          <w:i/>
          <w:sz w:val="24"/>
        </w:rPr>
        <w:t>Applied multiple regression/correlation analysis for the behavioral sciences (2nd ed.)</w:t>
      </w:r>
      <w:r w:rsidRPr="004664FE">
        <w:rPr>
          <w:rFonts w:ascii="Times New Roman" w:hAnsi="Times New Roman" w:cs="Times New Roman"/>
          <w:sz w:val="24"/>
        </w:rPr>
        <w:t>. Mahwah: Erlbaum.</w:t>
      </w:r>
    </w:p>
    <w:p w14:paraId="18C602A7" w14:textId="7E870ED8"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Cohen, W. M., Nelson, R. R., &amp; Walsh, J. P. (2000). </w:t>
      </w:r>
      <w:r w:rsidRPr="004664FE">
        <w:rPr>
          <w:rFonts w:ascii="Times New Roman" w:hAnsi="Times New Roman" w:cs="Times New Roman"/>
          <w:b/>
          <w:i/>
          <w:sz w:val="24"/>
        </w:rPr>
        <w:t>Protecting their intellectual assets: Appropriability conditions and why US manufacturing firms patent (or not)</w:t>
      </w:r>
      <w:r w:rsidRPr="004664FE">
        <w:rPr>
          <w:rFonts w:ascii="Times New Roman" w:hAnsi="Times New Roman" w:cs="Times New Roman"/>
          <w:sz w:val="24"/>
        </w:rPr>
        <w:t xml:space="preserve"> (No. w7552). National Bureau of Economic Research. Cambridge, MA.</w:t>
      </w:r>
    </w:p>
    <w:p w14:paraId="7F608F1D" w14:textId="1E5162C4"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color w:val="222222"/>
          <w:sz w:val="24"/>
          <w:shd w:val="clear" w:color="auto" w:fill="FFFFFF"/>
        </w:rPr>
        <w:t>D'Amato, A., &amp; Falivena, C. (2019). Corporate social responsibility and firm value: Do firm size and age matter? Empirical evidence from European listed companies. </w:t>
      </w:r>
      <w:r w:rsidRPr="004664FE">
        <w:rPr>
          <w:rFonts w:ascii="Times New Roman" w:hAnsi="Times New Roman" w:cs="Times New Roman"/>
          <w:b/>
          <w:i/>
          <w:color w:val="222222"/>
          <w:sz w:val="24"/>
          <w:shd w:val="clear" w:color="auto" w:fill="FFFFFF"/>
        </w:rPr>
        <w:t>Corporate Social Responsibility and Environmental Management</w:t>
      </w:r>
      <w:r w:rsidRPr="004664FE">
        <w:rPr>
          <w:rFonts w:ascii="Times New Roman" w:hAnsi="Times New Roman" w:cs="Times New Roman"/>
          <w:b/>
          <w:color w:val="222222"/>
          <w:sz w:val="24"/>
          <w:shd w:val="clear" w:color="auto" w:fill="FFFFFF"/>
        </w:rPr>
        <w:t>.</w:t>
      </w:r>
    </w:p>
    <w:p w14:paraId="365F528F" w14:textId="3346BB11"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Dangelico, R. M. (2016). Green product innovation: where we are and where we are going. </w:t>
      </w:r>
      <w:r w:rsidRPr="004664FE">
        <w:rPr>
          <w:rFonts w:ascii="Times New Roman" w:hAnsi="Times New Roman" w:cs="Times New Roman"/>
          <w:b/>
          <w:i/>
          <w:sz w:val="24"/>
        </w:rPr>
        <w:t>Business Strategy and the Environment</w:t>
      </w:r>
      <w:r w:rsidRPr="004664FE">
        <w:rPr>
          <w:rFonts w:ascii="Times New Roman" w:hAnsi="Times New Roman" w:cs="Times New Roman"/>
          <w:sz w:val="24"/>
        </w:rPr>
        <w:t>, 25(8): 560-576.</w:t>
      </w:r>
    </w:p>
    <w:p w14:paraId="01EEF7B8" w14:textId="3B83480E" w:rsidR="00DA0A65" w:rsidRPr="004664FE" w:rsidRDefault="008968D6" w:rsidP="00DA0A65">
      <w:pPr>
        <w:spacing w:after="120" w:line="240"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t>Darnall, N., Henriques, I., &amp; Sadorsky, P. (2010). Adopting proactive environmental strategy: The influence of stakeholders and firm size. </w:t>
      </w:r>
      <w:r w:rsidRPr="004664FE">
        <w:rPr>
          <w:rFonts w:ascii="Times New Roman" w:hAnsi="Times New Roman" w:cs="Times New Roman"/>
          <w:b/>
          <w:bCs/>
          <w:i/>
          <w:iCs/>
          <w:color w:val="222222"/>
          <w:sz w:val="24"/>
          <w:szCs w:val="24"/>
          <w:shd w:val="clear" w:color="auto" w:fill="FFFFFF"/>
        </w:rPr>
        <w:t>Journal of Management Studies</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47</w:t>
      </w:r>
      <w:r w:rsidRPr="004664FE">
        <w:rPr>
          <w:rFonts w:ascii="Times New Roman" w:hAnsi="Times New Roman" w:cs="Times New Roman"/>
          <w:color w:val="222222"/>
          <w:sz w:val="24"/>
          <w:szCs w:val="24"/>
          <w:shd w:val="clear" w:color="auto" w:fill="FFFFFF"/>
        </w:rPr>
        <w:t>(6), 1072-1094.</w:t>
      </w:r>
    </w:p>
    <w:p w14:paraId="47A1F10F" w14:textId="77777777" w:rsidR="00DA0A65" w:rsidRPr="004664FE" w:rsidRDefault="008968D6" w:rsidP="00DA0A65">
      <w:pPr>
        <w:spacing w:after="120" w:line="240"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t xml:space="preserve">Dawson, J. F. (2014). Moderation in management research: What, why, </w:t>
      </w:r>
      <w:proofErr w:type="gramStart"/>
      <w:r w:rsidRPr="004664FE">
        <w:rPr>
          <w:rFonts w:ascii="Times New Roman" w:hAnsi="Times New Roman" w:cs="Times New Roman"/>
          <w:color w:val="222222"/>
          <w:sz w:val="24"/>
          <w:szCs w:val="24"/>
          <w:shd w:val="clear" w:color="auto" w:fill="FFFFFF"/>
        </w:rPr>
        <w:t>when</w:t>
      </w:r>
      <w:proofErr w:type="gramEnd"/>
      <w:r w:rsidRPr="004664FE">
        <w:rPr>
          <w:rFonts w:ascii="Times New Roman" w:hAnsi="Times New Roman" w:cs="Times New Roman"/>
          <w:color w:val="222222"/>
          <w:sz w:val="24"/>
          <w:szCs w:val="24"/>
          <w:shd w:val="clear" w:color="auto" w:fill="FFFFFF"/>
        </w:rPr>
        <w:t xml:space="preserve"> and how. </w:t>
      </w:r>
      <w:r w:rsidRPr="004664FE">
        <w:rPr>
          <w:rFonts w:ascii="Times New Roman" w:hAnsi="Times New Roman" w:cs="Times New Roman"/>
          <w:b/>
          <w:bCs/>
          <w:i/>
          <w:iCs/>
          <w:color w:val="222222"/>
          <w:sz w:val="24"/>
          <w:szCs w:val="24"/>
          <w:shd w:val="clear" w:color="auto" w:fill="FFFFFF"/>
        </w:rPr>
        <w:t>Journal of Business and Psychology</w:t>
      </w:r>
      <w:r w:rsidRPr="004664FE">
        <w:rPr>
          <w:rFonts w:ascii="Times New Roman" w:hAnsi="Times New Roman" w:cs="Times New Roman"/>
          <w:color w:val="222222"/>
          <w:sz w:val="24"/>
          <w:szCs w:val="24"/>
          <w:shd w:val="clear" w:color="auto" w:fill="FFFFFF"/>
        </w:rPr>
        <w:t>, 29, 1-19.</w:t>
      </w:r>
    </w:p>
    <w:p w14:paraId="2AA9B487" w14:textId="77777777" w:rsidR="00DA0A65" w:rsidRPr="004664FE" w:rsidRDefault="008968D6" w:rsidP="00DA0A65">
      <w:pPr>
        <w:spacing w:after="120" w:line="240" w:lineRule="auto"/>
        <w:ind w:left="426" w:hanging="426"/>
        <w:jc w:val="both"/>
        <w:rPr>
          <w:rFonts w:ascii="Times New Roman" w:hAnsi="Times New Roman" w:cs="Times New Roman"/>
          <w:color w:val="222222"/>
          <w:sz w:val="24"/>
          <w:szCs w:val="24"/>
          <w:shd w:val="clear" w:color="auto" w:fill="FFFFFF"/>
          <w:lang w:val="es-ES"/>
        </w:rPr>
      </w:pPr>
      <w:r w:rsidRPr="004664FE">
        <w:rPr>
          <w:rFonts w:ascii="Times New Roman" w:hAnsi="Times New Roman" w:cs="Times New Roman"/>
          <w:color w:val="222222"/>
          <w:sz w:val="24"/>
          <w:szCs w:val="24"/>
          <w:shd w:val="clear" w:color="auto" w:fill="FFFFFF"/>
        </w:rPr>
        <w:t>Del Brìo, J. A., &amp; Junquera, B. (2003). A review of the literature on environmental innovation management in SMEs: implications for public policies. </w:t>
      </w:r>
      <w:r w:rsidRPr="004664FE">
        <w:rPr>
          <w:rFonts w:ascii="Times New Roman" w:hAnsi="Times New Roman" w:cs="Times New Roman"/>
          <w:b/>
          <w:bCs/>
          <w:i/>
          <w:iCs/>
          <w:color w:val="222222"/>
          <w:sz w:val="24"/>
          <w:szCs w:val="24"/>
          <w:shd w:val="clear" w:color="auto" w:fill="FFFFFF"/>
          <w:lang w:val="es-ES"/>
        </w:rPr>
        <w:t>Technovation</w:t>
      </w:r>
      <w:r w:rsidRPr="004664FE">
        <w:rPr>
          <w:rFonts w:ascii="Times New Roman" w:hAnsi="Times New Roman" w:cs="Times New Roman"/>
          <w:b/>
          <w:bCs/>
          <w:color w:val="222222"/>
          <w:sz w:val="24"/>
          <w:szCs w:val="24"/>
          <w:shd w:val="clear" w:color="auto" w:fill="FFFFFF"/>
          <w:lang w:val="es-ES"/>
        </w:rPr>
        <w:t>,</w:t>
      </w:r>
      <w:r w:rsidRPr="004664FE">
        <w:rPr>
          <w:rFonts w:ascii="Times New Roman" w:hAnsi="Times New Roman" w:cs="Times New Roman"/>
          <w:color w:val="222222"/>
          <w:sz w:val="24"/>
          <w:szCs w:val="24"/>
          <w:shd w:val="clear" w:color="auto" w:fill="FFFFFF"/>
          <w:lang w:val="es-ES"/>
        </w:rPr>
        <w:t> </w:t>
      </w:r>
      <w:r w:rsidRPr="004664FE">
        <w:rPr>
          <w:rFonts w:ascii="Times New Roman" w:hAnsi="Times New Roman" w:cs="Times New Roman"/>
          <w:i/>
          <w:iCs/>
          <w:color w:val="222222"/>
          <w:sz w:val="24"/>
          <w:szCs w:val="24"/>
          <w:shd w:val="clear" w:color="auto" w:fill="FFFFFF"/>
          <w:lang w:val="es-ES"/>
        </w:rPr>
        <w:t>23</w:t>
      </w:r>
      <w:r w:rsidRPr="004664FE">
        <w:rPr>
          <w:rFonts w:ascii="Times New Roman" w:hAnsi="Times New Roman" w:cs="Times New Roman"/>
          <w:color w:val="222222"/>
          <w:sz w:val="24"/>
          <w:szCs w:val="24"/>
          <w:shd w:val="clear" w:color="auto" w:fill="FFFFFF"/>
          <w:lang w:val="es-ES"/>
        </w:rPr>
        <w:t>(12), 939-948.</w:t>
      </w:r>
    </w:p>
    <w:p w14:paraId="4B7F74FC" w14:textId="252744F9"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lang w:val="es-ES"/>
        </w:rPr>
        <w:t xml:space="preserve">Del Río, P., Morán, M. Á. T., &amp; Albiñana, F. C. 2011. </w:t>
      </w:r>
      <w:r w:rsidRPr="004664FE">
        <w:rPr>
          <w:rFonts w:ascii="Times New Roman" w:hAnsi="Times New Roman" w:cs="Times New Roman"/>
          <w:sz w:val="24"/>
        </w:rPr>
        <w:t xml:space="preserve">Analysing the determinants of environmental technology investments. A panel-data study of Spanish industrial sectors. </w:t>
      </w:r>
      <w:r w:rsidRPr="004664FE">
        <w:rPr>
          <w:rFonts w:ascii="Times New Roman" w:hAnsi="Times New Roman" w:cs="Times New Roman"/>
          <w:b/>
          <w:i/>
          <w:sz w:val="24"/>
        </w:rPr>
        <w:t>Journal of Cleaner Production</w:t>
      </w:r>
      <w:r w:rsidRPr="004664FE">
        <w:rPr>
          <w:rFonts w:ascii="Times New Roman" w:hAnsi="Times New Roman" w:cs="Times New Roman"/>
          <w:sz w:val="24"/>
        </w:rPr>
        <w:t>, 19(11): 1170-1179.</w:t>
      </w:r>
    </w:p>
    <w:p w14:paraId="73B7CE7F" w14:textId="36700280"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lang w:val="es-ES"/>
        </w:rPr>
        <w:t xml:space="preserve">Delios, A. &amp; Henisz, W.J. (2000). </w:t>
      </w:r>
      <w:r w:rsidRPr="004664FE">
        <w:rPr>
          <w:rFonts w:ascii="Times New Roman" w:hAnsi="Times New Roman" w:cs="Times New Roman"/>
          <w:sz w:val="24"/>
        </w:rPr>
        <w:t xml:space="preserve">Japanese Firms’ Investment Strategies in Emerging Economies. </w:t>
      </w:r>
      <w:r w:rsidRPr="004664FE">
        <w:rPr>
          <w:rFonts w:ascii="Times New Roman" w:hAnsi="Times New Roman" w:cs="Times New Roman"/>
          <w:b/>
          <w:i/>
          <w:sz w:val="24"/>
        </w:rPr>
        <w:t>Academy of Management Journal</w:t>
      </w:r>
      <w:r w:rsidRPr="004664FE">
        <w:rPr>
          <w:rFonts w:ascii="Times New Roman" w:hAnsi="Times New Roman" w:cs="Times New Roman"/>
          <w:sz w:val="24"/>
        </w:rPr>
        <w:t>, 43(3): 305-323.</w:t>
      </w:r>
    </w:p>
    <w:p w14:paraId="6D79CE01"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Delmas, M. A. (2002). The diffusion of environmental management standards in Europe and in the United States: An institutional perspective. </w:t>
      </w:r>
      <w:r w:rsidRPr="004664FE">
        <w:rPr>
          <w:rFonts w:ascii="Times New Roman" w:hAnsi="Times New Roman" w:cs="Times New Roman"/>
          <w:b/>
          <w:bCs/>
          <w:i/>
          <w:iCs/>
          <w:sz w:val="24"/>
        </w:rPr>
        <w:t>Policy Sciences</w:t>
      </w:r>
      <w:r w:rsidRPr="004664FE">
        <w:rPr>
          <w:rFonts w:ascii="Times New Roman" w:hAnsi="Times New Roman" w:cs="Times New Roman"/>
          <w:sz w:val="24"/>
        </w:rPr>
        <w:t>, 35(1), 91-119.</w:t>
      </w:r>
    </w:p>
    <w:p w14:paraId="74E0DD8B" w14:textId="021CB1EF"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De Marchi, V. (2012). Environmental innovation and R&amp;D cooperation: Empirical evidence from Spanish manufacturing firms. </w:t>
      </w:r>
      <w:r w:rsidRPr="004664FE">
        <w:rPr>
          <w:rFonts w:ascii="Times New Roman" w:hAnsi="Times New Roman" w:cs="Times New Roman"/>
          <w:b/>
          <w:i/>
          <w:color w:val="222222"/>
          <w:sz w:val="24"/>
          <w:shd w:val="clear" w:color="auto" w:fill="FFFFFF"/>
        </w:rPr>
        <w:t>Research Policy</w:t>
      </w:r>
      <w:r w:rsidRPr="004664FE">
        <w:rPr>
          <w:rFonts w:ascii="Times New Roman" w:hAnsi="Times New Roman" w:cs="Times New Roman"/>
          <w:color w:val="222222"/>
          <w:sz w:val="24"/>
          <w:shd w:val="clear" w:color="auto" w:fill="FFFFFF"/>
        </w:rPr>
        <w:t>, 41(3): 614-623.</w:t>
      </w:r>
    </w:p>
    <w:p w14:paraId="71A00DF6" w14:textId="21E2D19A"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Derbyshire, J. (2014). The impact of ambidexterity on enterprise performance: Evidence from 15 countries and 14 sectors. </w:t>
      </w:r>
      <w:r w:rsidRPr="004664FE">
        <w:rPr>
          <w:rFonts w:ascii="Times New Roman" w:hAnsi="Times New Roman" w:cs="Times New Roman"/>
          <w:b/>
          <w:i/>
          <w:sz w:val="24"/>
        </w:rPr>
        <w:t>Technovation</w:t>
      </w:r>
      <w:r w:rsidRPr="004664FE">
        <w:rPr>
          <w:rFonts w:ascii="Times New Roman" w:hAnsi="Times New Roman" w:cs="Times New Roman"/>
          <w:sz w:val="24"/>
        </w:rPr>
        <w:t>, 34(10): 574-581.</w:t>
      </w:r>
    </w:p>
    <w:p w14:paraId="244488EF" w14:textId="77777777" w:rsidR="00DA0A65" w:rsidRPr="004664FE" w:rsidRDefault="008968D6" w:rsidP="00DA0A65">
      <w:pPr>
        <w:spacing w:after="120" w:line="276"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lastRenderedPageBreak/>
        <w:t>Doidge, C., Karolyi, G. A., &amp; Stulz, R. M. (2004). Why are foreign firms listed in the US worth more?. </w:t>
      </w:r>
      <w:r w:rsidRPr="004664FE">
        <w:rPr>
          <w:rFonts w:ascii="Times New Roman" w:hAnsi="Times New Roman" w:cs="Times New Roman"/>
          <w:b/>
          <w:bCs/>
          <w:i/>
          <w:iCs/>
          <w:color w:val="222222"/>
          <w:sz w:val="24"/>
          <w:szCs w:val="24"/>
          <w:shd w:val="clear" w:color="auto" w:fill="FFFFFF"/>
        </w:rPr>
        <w:t>Journal of Financial Economics</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71</w:t>
      </w:r>
      <w:r w:rsidRPr="004664FE">
        <w:rPr>
          <w:rFonts w:ascii="Times New Roman" w:hAnsi="Times New Roman" w:cs="Times New Roman"/>
          <w:color w:val="222222"/>
          <w:sz w:val="24"/>
          <w:szCs w:val="24"/>
          <w:shd w:val="clear" w:color="auto" w:fill="FFFFFF"/>
        </w:rPr>
        <w:t>(2), 205-238.</w:t>
      </w:r>
    </w:p>
    <w:p w14:paraId="74460852" w14:textId="158FC822"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Driessen, P. H., Hillebrand, B., Kok, R. A., &amp; Verhallen, T. M. (2013). Green new product development: the pivotal role of product greenness. </w:t>
      </w:r>
      <w:r w:rsidRPr="004664FE">
        <w:rPr>
          <w:rFonts w:ascii="Times New Roman" w:hAnsi="Times New Roman" w:cs="Times New Roman"/>
          <w:b/>
          <w:i/>
          <w:sz w:val="24"/>
        </w:rPr>
        <w:t>IEEE Transactions on Engineering Management,</w:t>
      </w:r>
      <w:r w:rsidRPr="004664FE">
        <w:rPr>
          <w:rFonts w:ascii="Times New Roman" w:hAnsi="Times New Roman" w:cs="Times New Roman"/>
          <w:sz w:val="24"/>
        </w:rPr>
        <w:t xml:space="preserve"> 60(2): 315-326.</w:t>
      </w:r>
    </w:p>
    <w:p w14:paraId="3DBA2747" w14:textId="77777777" w:rsidR="00DA0A65" w:rsidRPr="004664FE" w:rsidRDefault="008968D6" w:rsidP="00DA0A65">
      <w:pPr>
        <w:spacing w:after="120" w:line="240" w:lineRule="auto"/>
        <w:ind w:left="426" w:hanging="426"/>
        <w:jc w:val="both"/>
        <w:rPr>
          <w:rFonts w:ascii="Times New Roman" w:hAnsi="Times New Roman" w:cs="Times New Roman"/>
          <w:sz w:val="24"/>
          <w:szCs w:val="24"/>
        </w:rPr>
      </w:pPr>
      <w:r w:rsidRPr="004664FE">
        <w:rPr>
          <w:rFonts w:ascii="Times New Roman" w:hAnsi="Times New Roman" w:cs="Times New Roman"/>
          <w:color w:val="222222"/>
          <w:sz w:val="24"/>
          <w:szCs w:val="24"/>
          <w:shd w:val="clear" w:color="auto" w:fill="FFFFFF"/>
        </w:rPr>
        <w:t>Elsayed, K. (2006). Reexamining the expected effect of available resources and firm size on firm environmental orientation: An empirical study of UK firms. </w:t>
      </w:r>
      <w:r w:rsidRPr="004664FE">
        <w:rPr>
          <w:rFonts w:ascii="Times New Roman" w:hAnsi="Times New Roman" w:cs="Times New Roman"/>
          <w:b/>
          <w:bCs/>
          <w:i/>
          <w:iCs/>
          <w:color w:val="222222"/>
          <w:sz w:val="24"/>
          <w:szCs w:val="24"/>
          <w:shd w:val="clear" w:color="auto" w:fill="FFFFFF"/>
        </w:rPr>
        <w:t>Journal of Business Ethics</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65</w:t>
      </w:r>
      <w:r w:rsidRPr="004664FE">
        <w:rPr>
          <w:rFonts w:ascii="Times New Roman" w:hAnsi="Times New Roman" w:cs="Times New Roman"/>
          <w:color w:val="222222"/>
          <w:sz w:val="24"/>
          <w:szCs w:val="24"/>
          <w:shd w:val="clear" w:color="auto" w:fill="FFFFFF"/>
        </w:rPr>
        <w:t>(3), 297-308.</w:t>
      </w:r>
    </w:p>
    <w:p w14:paraId="2981A171" w14:textId="47FD79E5"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Enkel, E., Heil, S., Hengstler, M., &amp; Wirth, H. (2017). Exploratory and exploitative innovation: To what extent do the dimensions of individual level absorptive capacity contribute?. </w:t>
      </w:r>
      <w:r w:rsidRPr="004664FE">
        <w:rPr>
          <w:rFonts w:ascii="Times New Roman" w:hAnsi="Times New Roman" w:cs="Times New Roman"/>
          <w:b/>
          <w:i/>
          <w:sz w:val="24"/>
        </w:rPr>
        <w:t>Technovation</w:t>
      </w:r>
      <w:r w:rsidRPr="004664FE">
        <w:rPr>
          <w:rFonts w:ascii="Times New Roman" w:hAnsi="Times New Roman" w:cs="Times New Roman"/>
          <w:sz w:val="24"/>
        </w:rPr>
        <w:t>, 60: 29-38.</w:t>
      </w:r>
    </w:p>
    <w:p w14:paraId="6D1B2CF0" w14:textId="623A3336"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Ernst, H. (2001). Patent applications and subsequent changes of performance: evidence from time-series cross-section analyses on the firm level. </w:t>
      </w:r>
      <w:r w:rsidRPr="004664FE">
        <w:rPr>
          <w:rFonts w:ascii="Times New Roman" w:hAnsi="Times New Roman" w:cs="Times New Roman"/>
          <w:b/>
          <w:i/>
          <w:sz w:val="24"/>
        </w:rPr>
        <w:t>Research Policy</w:t>
      </w:r>
      <w:r w:rsidRPr="004664FE">
        <w:rPr>
          <w:rFonts w:ascii="Times New Roman" w:hAnsi="Times New Roman" w:cs="Times New Roman"/>
          <w:sz w:val="24"/>
        </w:rPr>
        <w:t>, 30(1): 143-157.</w:t>
      </w:r>
    </w:p>
    <w:p w14:paraId="4697D891" w14:textId="6DCB8378" w:rsidR="00DA0A65" w:rsidRPr="004664FE" w:rsidRDefault="008968D6" w:rsidP="00DA0A65">
      <w:pPr>
        <w:spacing w:after="120" w:line="240" w:lineRule="auto"/>
        <w:ind w:left="426" w:hanging="426"/>
        <w:jc w:val="both"/>
        <w:rPr>
          <w:rFonts w:ascii="Times New Roman" w:hAnsi="Times New Roman" w:cs="Times New Roman"/>
          <w:b/>
          <w:i/>
          <w:sz w:val="24"/>
        </w:rPr>
      </w:pPr>
      <w:r w:rsidRPr="004664FE">
        <w:rPr>
          <w:rFonts w:ascii="Times New Roman" w:hAnsi="Times New Roman" w:cs="Times New Roman"/>
          <w:sz w:val="24"/>
        </w:rPr>
        <w:t>European Commission. (2019).</w:t>
      </w:r>
      <w:r w:rsidRPr="004664FE">
        <w:rPr>
          <w:rFonts w:ascii="Times New Roman" w:hAnsi="Times New Roman" w:cs="Times New Roman"/>
          <w:b/>
          <w:i/>
          <w:sz w:val="24"/>
        </w:rPr>
        <w:t xml:space="preserve"> Horizon 2020 work programme. European Commission Decision </w:t>
      </w:r>
      <w:proofErr w:type="gramStart"/>
      <w:r w:rsidRPr="004664FE">
        <w:rPr>
          <w:rFonts w:ascii="Times New Roman" w:hAnsi="Times New Roman" w:cs="Times New Roman"/>
          <w:b/>
          <w:i/>
          <w:sz w:val="24"/>
        </w:rPr>
        <w:t>C(</w:t>
      </w:r>
      <w:proofErr w:type="gramEnd"/>
      <w:r w:rsidRPr="004664FE">
        <w:rPr>
          <w:rFonts w:ascii="Times New Roman" w:hAnsi="Times New Roman" w:cs="Times New Roman"/>
          <w:b/>
          <w:i/>
          <w:sz w:val="24"/>
        </w:rPr>
        <w:t>2019)4575 of 2 July 2019.</w:t>
      </w:r>
    </w:p>
    <w:p w14:paraId="4A5C0360" w14:textId="337F7F2A" w:rsidR="00DA0A65" w:rsidRPr="004664FE" w:rsidRDefault="008968D6" w:rsidP="00DA0A65">
      <w:pPr>
        <w:spacing w:after="120" w:line="240" w:lineRule="auto"/>
        <w:ind w:left="426" w:hanging="426"/>
        <w:jc w:val="both"/>
        <w:rPr>
          <w:rStyle w:val="Hipervnculo"/>
          <w:rFonts w:ascii="Times New Roman" w:hAnsi="Times New Roman"/>
          <w:sz w:val="24"/>
        </w:rPr>
      </w:pPr>
      <w:r w:rsidRPr="004664FE">
        <w:rPr>
          <w:rFonts w:ascii="Times New Roman" w:hAnsi="Times New Roman" w:cs="Times New Roman"/>
          <w:sz w:val="24"/>
        </w:rPr>
        <w:t>Finance Yahoo. (2019).</w:t>
      </w:r>
      <w:r w:rsidRPr="004664FE">
        <w:rPr>
          <w:rFonts w:ascii="Times New Roman" w:hAnsi="Times New Roman" w:cs="Times New Roman"/>
          <w:b/>
          <w:sz w:val="24"/>
        </w:rPr>
        <w:t xml:space="preserve"> </w:t>
      </w:r>
      <w:r w:rsidRPr="004664FE">
        <w:rPr>
          <w:rFonts w:ascii="Times New Roman" w:hAnsi="Times New Roman" w:cs="Times New Roman"/>
          <w:sz w:val="24"/>
        </w:rPr>
        <w:t>The 10 biggest renewable energy stocks.</w:t>
      </w:r>
      <w:r w:rsidRPr="004664FE">
        <w:rPr>
          <w:rFonts w:ascii="Times New Roman" w:hAnsi="Times New Roman" w:cs="Times New Roman"/>
          <w:b/>
          <w:sz w:val="24"/>
        </w:rPr>
        <w:t xml:space="preserve"> </w:t>
      </w:r>
      <w:r w:rsidRPr="004664FE">
        <w:rPr>
          <w:rFonts w:ascii="Times New Roman" w:hAnsi="Times New Roman" w:cs="Times New Roman"/>
          <w:sz w:val="24"/>
        </w:rPr>
        <w:t>Avaliable at:</w:t>
      </w:r>
      <w:r w:rsidRPr="004664FE">
        <w:rPr>
          <w:rFonts w:ascii="Times New Roman" w:hAnsi="Times New Roman" w:cs="Times New Roman"/>
          <w:b/>
          <w:i/>
          <w:sz w:val="24"/>
        </w:rPr>
        <w:t xml:space="preserve"> </w:t>
      </w:r>
      <w:hyperlink r:id="rId10" w:history="1">
        <w:r w:rsidRPr="004664FE">
          <w:rPr>
            <w:rStyle w:val="Hipervnculo"/>
            <w:rFonts w:ascii="Times New Roman" w:hAnsi="Times New Roman" w:cs="Times New Roman"/>
            <w:sz w:val="24"/>
          </w:rPr>
          <w:t>https://finance.yahoo.com/news/10-biggest-renewable-energy-stocks-161300416.html</w:t>
        </w:r>
      </w:hyperlink>
    </w:p>
    <w:p w14:paraId="027290E8" w14:textId="1EAACE5A" w:rsidR="009E1508"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Fleming, L. (2001). Recombinant uncertainty in technological search. </w:t>
      </w:r>
      <w:r w:rsidRPr="004664FE">
        <w:rPr>
          <w:rFonts w:ascii="Times New Roman" w:hAnsi="Times New Roman" w:cs="Times New Roman"/>
          <w:b/>
          <w:bCs/>
          <w:i/>
          <w:iCs/>
          <w:sz w:val="24"/>
        </w:rPr>
        <w:t>Management Science</w:t>
      </w:r>
      <w:r w:rsidRPr="004664FE">
        <w:rPr>
          <w:rFonts w:ascii="Times New Roman" w:hAnsi="Times New Roman" w:cs="Times New Roman"/>
          <w:sz w:val="24"/>
        </w:rPr>
        <w:t>, 47(1), 117-132.</w:t>
      </w:r>
    </w:p>
    <w:p w14:paraId="46FA4567" w14:textId="06A1A639" w:rsidR="00DA0A65" w:rsidRPr="004664FE" w:rsidRDefault="008968D6" w:rsidP="00DA0A65">
      <w:pPr>
        <w:spacing w:after="120" w:line="240" w:lineRule="auto"/>
        <w:ind w:left="426" w:hanging="426"/>
        <w:jc w:val="both"/>
        <w:rPr>
          <w:rStyle w:val="Hipervnculo"/>
          <w:rFonts w:ascii="Times New Roman" w:hAnsi="Times New Roman"/>
          <w:sz w:val="24"/>
        </w:rPr>
      </w:pPr>
      <w:r w:rsidRPr="004664FE">
        <w:rPr>
          <w:rFonts w:ascii="Times New Roman" w:hAnsi="Times New Roman" w:cs="Times New Roman"/>
          <w:sz w:val="24"/>
        </w:rPr>
        <w:t xml:space="preserve">Forbes. (2019). The Top 33 companies for the environment by industry. Available at: </w:t>
      </w:r>
      <w:hyperlink r:id="rId11" w:anchor="69a8a53f6461" w:history="1">
        <w:r w:rsidRPr="004664FE">
          <w:rPr>
            <w:rStyle w:val="Hipervnculo"/>
            <w:rFonts w:ascii="Times New Roman" w:hAnsi="Times New Roman" w:cs="Times New Roman"/>
            <w:sz w:val="24"/>
          </w:rPr>
          <w:t>https://www.forbes.com/sites/justcapital/2019/04/22/the-top-33-companies-for-the-environment-by-industry/#69a8a53f6461</w:t>
        </w:r>
      </w:hyperlink>
    </w:p>
    <w:p w14:paraId="0A455DDB"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Fosfuri, A. (2006). The licensing dilemma: understanding the determinants of the rate of technology licensing. </w:t>
      </w:r>
      <w:r w:rsidRPr="004664FE">
        <w:rPr>
          <w:rFonts w:ascii="Times New Roman" w:hAnsi="Times New Roman" w:cs="Times New Roman"/>
          <w:b/>
          <w:bCs/>
          <w:i/>
          <w:iCs/>
          <w:sz w:val="24"/>
        </w:rPr>
        <w:t>Strategic Management Journal</w:t>
      </w:r>
      <w:r w:rsidRPr="004664FE">
        <w:rPr>
          <w:rFonts w:ascii="Times New Roman" w:hAnsi="Times New Roman" w:cs="Times New Roman"/>
          <w:sz w:val="24"/>
        </w:rPr>
        <w:t>, 27(12), 1141-1158.</w:t>
      </w:r>
    </w:p>
    <w:p w14:paraId="222E6171" w14:textId="19BB20C6"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Ghisetti, C., &amp; Rennings, K. (2014). Environmental innovations and profitability: How </w:t>
      </w:r>
      <w:proofErr w:type="gramStart"/>
      <w:r w:rsidRPr="004664FE">
        <w:rPr>
          <w:rFonts w:ascii="Times New Roman" w:hAnsi="Times New Roman" w:cs="Times New Roman"/>
          <w:sz w:val="24"/>
        </w:rPr>
        <w:t>does</w:t>
      </w:r>
      <w:proofErr w:type="gramEnd"/>
      <w:r w:rsidRPr="004664FE">
        <w:rPr>
          <w:rFonts w:ascii="Times New Roman" w:hAnsi="Times New Roman" w:cs="Times New Roman"/>
          <w:sz w:val="24"/>
        </w:rPr>
        <w:t xml:space="preserve"> it pay to be green? An empirical analysis on the German innovation survey</w:t>
      </w:r>
      <w:r w:rsidRPr="004664FE">
        <w:rPr>
          <w:rFonts w:ascii="Times New Roman" w:hAnsi="Times New Roman" w:cs="Times New Roman"/>
          <w:b/>
          <w:i/>
          <w:sz w:val="24"/>
        </w:rPr>
        <w:t>. Journal of Cleaner Production</w:t>
      </w:r>
      <w:r w:rsidRPr="004664FE">
        <w:rPr>
          <w:rFonts w:ascii="Times New Roman" w:hAnsi="Times New Roman" w:cs="Times New Roman"/>
          <w:sz w:val="24"/>
        </w:rPr>
        <w:t>, 75: 106-117.</w:t>
      </w:r>
    </w:p>
    <w:p w14:paraId="685CFF72"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GPI. 2009. </w:t>
      </w:r>
      <w:r w:rsidRPr="004664FE">
        <w:rPr>
          <w:rFonts w:ascii="Times New Roman" w:hAnsi="Times New Roman" w:cs="Times New Roman"/>
          <w:b/>
          <w:i/>
          <w:sz w:val="24"/>
        </w:rPr>
        <w:t>Global patent index user manual. European Patent Office.</w:t>
      </w:r>
      <w:r w:rsidRPr="004664FE">
        <w:rPr>
          <w:rFonts w:ascii="Times New Roman" w:hAnsi="Times New Roman" w:cs="Times New Roman"/>
          <w:sz w:val="24"/>
        </w:rPr>
        <w:t xml:space="preserve"> EPO—Dept.5411. European Patent Office, Munich.</w:t>
      </w:r>
    </w:p>
    <w:p w14:paraId="52C0989F" w14:textId="77777777" w:rsidR="00DA0A65" w:rsidRPr="004664FE" w:rsidRDefault="008968D6" w:rsidP="00DA0A65">
      <w:pPr>
        <w:spacing w:after="120" w:line="240"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t xml:space="preserve">Gurry, F., Fink, C., Khan, M., Bergquist, K., Lamb, R., Feuvre, B. Le, &amp; Hao Zhou. (2012). World Intellectual Property Indicators 2011. </w:t>
      </w:r>
      <w:r w:rsidRPr="004664FE">
        <w:rPr>
          <w:rFonts w:ascii="Times New Roman" w:hAnsi="Times New Roman"/>
          <w:b/>
          <w:i/>
          <w:color w:val="222222"/>
          <w:sz w:val="24"/>
          <w:shd w:val="clear" w:color="auto" w:fill="FFFFFF"/>
        </w:rPr>
        <w:t>WIPO Economics &amp; Statistics Series</w:t>
      </w:r>
      <w:r w:rsidRPr="004664FE">
        <w:rPr>
          <w:rFonts w:ascii="Times New Roman" w:hAnsi="Times New Roman" w:cs="Times New Roman"/>
          <w:color w:val="222222"/>
          <w:sz w:val="24"/>
          <w:szCs w:val="24"/>
          <w:shd w:val="clear" w:color="auto" w:fill="FFFFFF"/>
        </w:rPr>
        <w:t xml:space="preserve">. Available at: </w:t>
      </w:r>
      <w:hyperlink r:id="rId12" w:history="1">
        <w:r w:rsidRPr="004664FE">
          <w:rPr>
            <w:rStyle w:val="Hipervnculo"/>
            <w:rFonts w:ascii="Times New Roman" w:hAnsi="Times New Roman" w:cs="Times New Roman"/>
            <w:sz w:val="24"/>
            <w:szCs w:val="24"/>
            <w:shd w:val="clear" w:color="auto" w:fill="FFFFFF"/>
          </w:rPr>
          <w:t>http://www.wipo.int/ipstats/en/wipi/</w:t>
        </w:r>
      </w:hyperlink>
      <w:r w:rsidRPr="004664FE">
        <w:rPr>
          <w:rFonts w:ascii="Times New Roman" w:hAnsi="Times New Roman" w:cs="Times New Roman"/>
          <w:color w:val="222222"/>
          <w:sz w:val="24"/>
          <w:szCs w:val="24"/>
          <w:shd w:val="clear" w:color="auto" w:fill="FFFFFF"/>
        </w:rPr>
        <w:t xml:space="preserve"> </w:t>
      </w:r>
    </w:p>
    <w:p w14:paraId="41ABEE4B" w14:textId="0E0AB4B1"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Haans, R. F., Pieters, C., &amp; He, Z. L. (2016). Thinking about U: Theorizing and testing U</w:t>
      </w:r>
      <w:r w:rsidRPr="004664FE">
        <w:rPr>
          <w:rFonts w:ascii="Times New Roman" w:hAnsi="Times New Roman"/>
          <w:color w:val="222222"/>
          <w:sz w:val="24"/>
          <w:shd w:val="clear" w:color="auto" w:fill="FFFFFF"/>
        </w:rPr>
        <w:t>‐</w:t>
      </w:r>
      <w:r w:rsidRPr="004664FE">
        <w:rPr>
          <w:rFonts w:ascii="Times New Roman" w:hAnsi="Times New Roman" w:cs="Times New Roman"/>
          <w:color w:val="222222"/>
          <w:sz w:val="24"/>
          <w:shd w:val="clear" w:color="auto" w:fill="FFFFFF"/>
        </w:rPr>
        <w:t>and inverted U</w:t>
      </w:r>
      <w:r w:rsidRPr="004664FE">
        <w:rPr>
          <w:rFonts w:ascii="Times New Roman" w:hAnsi="Times New Roman"/>
          <w:color w:val="222222"/>
          <w:sz w:val="24"/>
          <w:shd w:val="clear" w:color="auto" w:fill="FFFFFF"/>
        </w:rPr>
        <w:t>‐</w:t>
      </w:r>
      <w:r w:rsidRPr="004664FE">
        <w:rPr>
          <w:rFonts w:ascii="Times New Roman" w:hAnsi="Times New Roman" w:cs="Times New Roman"/>
          <w:color w:val="222222"/>
          <w:sz w:val="24"/>
          <w:shd w:val="clear" w:color="auto" w:fill="FFFFFF"/>
        </w:rPr>
        <w:t xml:space="preserve">shaped relationships in strategy research. </w:t>
      </w:r>
      <w:r w:rsidRPr="004664FE">
        <w:rPr>
          <w:rFonts w:ascii="Times New Roman" w:hAnsi="Times New Roman" w:cs="Times New Roman"/>
          <w:b/>
          <w:i/>
          <w:color w:val="222222"/>
          <w:sz w:val="24"/>
          <w:shd w:val="clear" w:color="auto" w:fill="FFFFFF"/>
        </w:rPr>
        <w:t>Strategic Management Journal</w:t>
      </w:r>
      <w:r w:rsidRPr="004664FE">
        <w:rPr>
          <w:rFonts w:ascii="Times New Roman" w:hAnsi="Times New Roman" w:cs="Times New Roman"/>
          <w:color w:val="222222"/>
          <w:sz w:val="24"/>
          <w:shd w:val="clear" w:color="auto" w:fill="FFFFFF"/>
        </w:rPr>
        <w:t>, 37(7), 1177-1195.</w:t>
      </w:r>
    </w:p>
    <w:p w14:paraId="7BE1879D" w14:textId="77777777"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Hall, B. H., &amp; Ziedonis, R. H. (2001). The patent paradox revisited: an empirical study of patenting in the US semiconductor industry, 1979-1995</w:t>
      </w:r>
      <w:r w:rsidRPr="004664FE">
        <w:rPr>
          <w:rFonts w:ascii="Times New Roman" w:hAnsi="Times New Roman" w:cs="Times New Roman"/>
          <w:b/>
          <w:bCs/>
          <w:i/>
          <w:iCs/>
          <w:color w:val="222222"/>
          <w:sz w:val="24"/>
          <w:shd w:val="clear" w:color="auto" w:fill="FFFFFF"/>
        </w:rPr>
        <w:t>. Rand Journal of Economics</w:t>
      </w:r>
      <w:r w:rsidRPr="004664FE">
        <w:rPr>
          <w:rFonts w:ascii="Times New Roman" w:hAnsi="Times New Roman" w:cs="Times New Roman"/>
          <w:color w:val="222222"/>
          <w:sz w:val="24"/>
          <w:shd w:val="clear" w:color="auto" w:fill="FFFFFF"/>
        </w:rPr>
        <w:t>, 101-128.</w:t>
      </w:r>
    </w:p>
    <w:p w14:paraId="2E1165AE" w14:textId="4BC2A365" w:rsidR="00323633" w:rsidRPr="004664FE" w:rsidRDefault="008968D6" w:rsidP="00323633">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Hannan, M. T., &amp; Freeman, J. (1984). Structural inertia and organizational change. </w:t>
      </w:r>
      <w:r w:rsidRPr="004664FE">
        <w:rPr>
          <w:rFonts w:ascii="Times New Roman" w:hAnsi="Times New Roman" w:cs="Times New Roman"/>
          <w:b/>
          <w:i/>
          <w:color w:val="222222"/>
          <w:sz w:val="24"/>
          <w:shd w:val="clear" w:color="auto" w:fill="FFFFFF"/>
        </w:rPr>
        <w:t>American Sociological Review</w:t>
      </w:r>
      <w:r w:rsidRPr="004664FE">
        <w:rPr>
          <w:rFonts w:ascii="Times New Roman" w:hAnsi="Times New Roman" w:cs="Times New Roman"/>
          <w:color w:val="222222"/>
          <w:sz w:val="24"/>
          <w:shd w:val="clear" w:color="auto" w:fill="FFFFFF"/>
        </w:rPr>
        <w:t>, 149-164.</w:t>
      </w:r>
    </w:p>
    <w:p w14:paraId="231B629B" w14:textId="4F7A9E22" w:rsidR="00323633" w:rsidRPr="004664FE" w:rsidRDefault="008968D6" w:rsidP="00323633">
      <w:pPr>
        <w:spacing w:after="120" w:line="240"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t>Hansen, O. E., Søndergard, B., &amp; Meredith, S. (2002). Environmental innovations in small and medium sized enterprises. </w:t>
      </w:r>
      <w:r w:rsidRPr="004664FE">
        <w:rPr>
          <w:rFonts w:ascii="Times New Roman" w:hAnsi="Times New Roman" w:cs="Times New Roman"/>
          <w:b/>
          <w:bCs/>
          <w:i/>
          <w:iCs/>
          <w:color w:val="222222"/>
          <w:sz w:val="24"/>
          <w:szCs w:val="24"/>
          <w:shd w:val="clear" w:color="auto" w:fill="FFFFFF"/>
        </w:rPr>
        <w:t>Technology Analysis &amp; Strategic Management</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14</w:t>
      </w:r>
      <w:r w:rsidRPr="004664FE">
        <w:rPr>
          <w:rFonts w:ascii="Times New Roman" w:hAnsi="Times New Roman" w:cs="Times New Roman"/>
          <w:color w:val="222222"/>
          <w:sz w:val="24"/>
          <w:szCs w:val="24"/>
          <w:shd w:val="clear" w:color="auto" w:fill="FFFFFF"/>
        </w:rPr>
        <w:t>(1), 37-56.</w:t>
      </w:r>
    </w:p>
    <w:p w14:paraId="5E6B5F34" w14:textId="77777777" w:rsidR="00DA0A65" w:rsidRPr="004664FE" w:rsidRDefault="008968D6" w:rsidP="00DA0A65">
      <w:pPr>
        <w:spacing w:after="120" w:line="240"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lastRenderedPageBreak/>
        <w:t xml:space="preserve">Hart, S. L. (1995). A natural-resource-based view of the firm. </w:t>
      </w:r>
      <w:r w:rsidRPr="004664FE">
        <w:rPr>
          <w:rFonts w:ascii="Times New Roman" w:hAnsi="Times New Roman" w:cs="Times New Roman"/>
          <w:b/>
          <w:bCs/>
          <w:i/>
          <w:iCs/>
          <w:color w:val="222222"/>
          <w:sz w:val="24"/>
          <w:szCs w:val="24"/>
          <w:shd w:val="clear" w:color="auto" w:fill="FFFFFF"/>
        </w:rPr>
        <w:t>Academy of Management Review</w:t>
      </w:r>
      <w:r w:rsidRPr="004664FE">
        <w:rPr>
          <w:rFonts w:ascii="Times New Roman" w:hAnsi="Times New Roman" w:cs="Times New Roman"/>
          <w:color w:val="222222"/>
          <w:sz w:val="24"/>
          <w:szCs w:val="24"/>
          <w:shd w:val="clear" w:color="auto" w:fill="FFFFFF"/>
        </w:rPr>
        <w:t>, 20(4), 986-1014.</w:t>
      </w:r>
    </w:p>
    <w:p w14:paraId="58302E19" w14:textId="05034345"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Hausman, J. A. (1978). Specification tests in econometrics. </w:t>
      </w:r>
      <w:r w:rsidRPr="004664FE">
        <w:rPr>
          <w:rFonts w:ascii="Times New Roman" w:hAnsi="Times New Roman" w:cs="Times New Roman"/>
          <w:b/>
          <w:i/>
          <w:sz w:val="24"/>
        </w:rPr>
        <w:t>Econometrica: Journal of the Econometric Society,</w:t>
      </w:r>
      <w:r w:rsidRPr="004664FE">
        <w:rPr>
          <w:rFonts w:ascii="Times New Roman" w:hAnsi="Times New Roman" w:cs="Times New Roman"/>
          <w:sz w:val="24"/>
        </w:rPr>
        <w:t xml:space="preserve"> 1251-1271.</w:t>
      </w:r>
    </w:p>
    <w:p w14:paraId="4B65579D" w14:textId="69385EEB"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Helfat, C. E., &amp; Peteraf, M. A. (2003). The dynamic resource</w:t>
      </w:r>
      <w:r w:rsidRPr="004664FE">
        <w:rPr>
          <w:rFonts w:ascii="Times New Roman" w:hAnsi="Times New Roman"/>
          <w:color w:val="222222"/>
          <w:sz w:val="24"/>
          <w:shd w:val="clear" w:color="auto" w:fill="FFFFFF"/>
        </w:rPr>
        <w:t>‐</w:t>
      </w:r>
      <w:r w:rsidRPr="004664FE">
        <w:rPr>
          <w:rFonts w:ascii="Times New Roman" w:hAnsi="Times New Roman" w:cs="Times New Roman"/>
          <w:color w:val="222222"/>
          <w:sz w:val="24"/>
          <w:shd w:val="clear" w:color="auto" w:fill="FFFFFF"/>
        </w:rPr>
        <w:t>based view: Capability lifecycles. </w:t>
      </w:r>
      <w:r w:rsidRPr="004664FE">
        <w:rPr>
          <w:rFonts w:ascii="Times New Roman" w:hAnsi="Times New Roman" w:cs="Times New Roman"/>
          <w:b/>
          <w:i/>
          <w:color w:val="222222"/>
          <w:sz w:val="24"/>
          <w:shd w:val="clear" w:color="auto" w:fill="FFFFFF"/>
        </w:rPr>
        <w:t>Strategic Management Journal</w:t>
      </w:r>
      <w:r w:rsidRPr="004664FE">
        <w:rPr>
          <w:rFonts w:ascii="Times New Roman" w:hAnsi="Times New Roman" w:cs="Times New Roman"/>
          <w:color w:val="222222"/>
          <w:sz w:val="24"/>
          <w:shd w:val="clear" w:color="auto" w:fill="FFFFFF"/>
        </w:rPr>
        <w:t>, 24(10): 997-1010.</w:t>
      </w:r>
    </w:p>
    <w:p w14:paraId="09DEF668" w14:textId="329E47B2"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sz w:val="24"/>
        </w:rPr>
        <w:t xml:space="preserve">Henriques, I., &amp; Sadorsky, P. (1996). The determinants of an environmentally responsive firm: An empirical approach. </w:t>
      </w:r>
      <w:r w:rsidRPr="004664FE">
        <w:rPr>
          <w:rFonts w:ascii="Times New Roman" w:hAnsi="Times New Roman" w:cs="Times New Roman"/>
          <w:b/>
          <w:i/>
          <w:sz w:val="24"/>
        </w:rPr>
        <w:t>Journal of Environmental Economics and Management,</w:t>
      </w:r>
      <w:r w:rsidRPr="004664FE">
        <w:rPr>
          <w:rFonts w:ascii="Times New Roman" w:hAnsi="Times New Roman" w:cs="Times New Roman"/>
          <w:sz w:val="24"/>
        </w:rPr>
        <w:t xml:space="preserve"> 30(3): 381-395.</w:t>
      </w:r>
    </w:p>
    <w:p w14:paraId="499FBB7D" w14:textId="2A51BEB4"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olor w:val="222222"/>
          <w:sz w:val="24"/>
          <w:shd w:val="clear" w:color="auto" w:fill="FFFFFF"/>
        </w:rPr>
        <w:t xml:space="preserve">Horbach, J. </w:t>
      </w:r>
      <w:r w:rsidRPr="004664FE">
        <w:rPr>
          <w:rFonts w:ascii="Times New Roman" w:hAnsi="Times New Roman" w:cs="Times New Roman"/>
          <w:color w:val="222222"/>
          <w:sz w:val="24"/>
          <w:shd w:val="clear" w:color="auto" w:fill="FFFFFF"/>
        </w:rPr>
        <w:t>(2016). Empirical determinants of eco-innovation in European countries using the community innovation survey. </w:t>
      </w:r>
      <w:r w:rsidRPr="004664FE">
        <w:rPr>
          <w:rFonts w:ascii="Times New Roman" w:hAnsi="Times New Roman" w:cs="Times New Roman"/>
          <w:b/>
          <w:i/>
          <w:color w:val="222222"/>
          <w:sz w:val="24"/>
          <w:shd w:val="clear" w:color="auto" w:fill="FFFFFF"/>
        </w:rPr>
        <w:t>Environmental Innovation and Societal Transitions</w:t>
      </w:r>
      <w:r w:rsidRPr="004664FE">
        <w:rPr>
          <w:rFonts w:ascii="Times New Roman" w:hAnsi="Times New Roman" w:cs="Times New Roman"/>
          <w:color w:val="222222"/>
          <w:sz w:val="24"/>
          <w:shd w:val="clear" w:color="auto" w:fill="FFFFFF"/>
        </w:rPr>
        <w:t>, 19: 1-14.</w:t>
      </w:r>
    </w:p>
    <w:p w14:paraId="0FE87DBC" w14:textId="1D0DD14A"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Huang, H. C., &amp; Su, H. N. (2019). The innovative fulcrums of technological interdisciplinarity: An analysis of technology fields in patents. </w:t>
      </w:r>
      <w:r w:rsidRPr="004664FE">
        <w:rPr>
          <w:rFonts w:ascii="Times New Roman" w:hAnsi="Times New Roman" w:cs="Times New Roman"/>
          <w:b/>
          <w:i/>
          <w:sz w:val="24"/>
        </w:rPr>
        <w:t>Technovation,</w:t>
      </w:r>
      <w:r w:rsidRPr="004664FE">
        <w:rPr>
          <w:rFonts w:ascii="Times New Roman" w:hAnsi="Times New Roman" w:cs="Times New Roman"/>
          <w:sz w:val="24"/>
        </w:rPr>
        <w:t xml:space="preserve"> 84: 59-70.</w:t>
      </w:r>
    </w:p>
    <w:p w14:paraId="652C482C" w14:textId="3622CBD1"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Huergo, E., &amp; Jaumandreu, J. (2004). How does probability of innovation change with firm age?. </w:t>
      </w:r>
      <w:r w:rsidRPr="004664FE">
        <w:rPr>
          <w:rFonts w:ascii="Times New Roman" w:hAnsi="Times New Roman" w:cs="Times New Roman"/>
          <w:b/>
          <w:i/>
          <w:color w:val="222222"/>
          <w:sz w:val="24"/>
          <w:shd w:val="clear" w:color="auto" w:fill="FFFFFF"/>
        </w:rPr>
        <w:t>Small Business Economics</w:t>
      </w:r>
      <w:r w:rsidRPr="004664FE">
        <w:rPr>
          <w:rFonts w:ascii="Times New Roman" w:hAnsi="Times New Roman" w:cs="Times New Roman"/>
          <w:color w:val="222222"/>
          <w:sz w:val="24"/>
          <w:shd w:val="clear" w:color="auto" w:fill="FFFFFF"/>
        </w:rPr>
        <w:t>, 22(3-4): 193-207.</w:t>
      </w:r>
    </w:p>
    <w:p w14:paraId="6ED9A6A2" w14:textId="6FF1D2C9"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Hussain, N., Rigoni, U., &amp; Cavezzali, E. (2018). Does it pay to be sustainable? Looking inside the black box of the relationship between sustainability performance and financial performance. </w:t>
      </w:r>
      <w:r w:rsidRPr="004664FE">
        <w:rPr>
          <w:rFonts w:ascii="Times New Roman" w:hAnsi="Times New Roman" w:cs="Times New Roman"/>
          <w:b/>
          <w:i/>
          <w:sz w:val="24"/>
        </w:rPr>
        <w:t>Corporate Social Responsibility and Environmental Management</w:t>
      </w:r>
      <w:r w:rsidRPr="004664FE">
        <w:rPr>
          <w:rFonts w:ascii="Times New Roman" w:hAnsi="Times New Roman" w:cs="Times New Roman"/>
          <w:sz w:val="24"/>
        </w:rPr>
        <w:t>, 25(6): 1198-1211.</w:t>
      </w:r>
    </w:p>
    <w:p w14:paraId="2EDA8F36" w14:textId="795037E6"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Jaffe, A. B., Newell, R. G., &amp; Stavins, R. N. (2002). Environmental policy and technological change. </w:t>
      </w:r>
      <w:r w:rsidRPr="004664FE">
        <w:rPr>
          <w:rFonts w:ascii="Times New Roman" w:hAnsi="Times New Roman" w:cs="Times New Roman"/>
          <w:b/>
          <w:i/>
          <w:sz w:val="24"/>
        </w:rPr>
        <w:t>Environmental and Resource Economics</w:t>
      </w:r>
      <w:r w:rsidRPr="004664FE">
        <w:rPr>
          <w:rFonts w:ascii="Times New Roman" w:hAnsi="Times New Roman" w:cs="Times New Roman"/>
          <w:sz w:val="24"/>
        </w:rPr>
        <w:t>, 22(1-2): 41-70.</w:t>
      </w:r>
    </w:p>
    <w:p w14:paraId="11B4D5EC" w14:textId="77777777" w:rsidR="00DA0A65" w:rsidRPr="004664FE" w:rsidRDefault="008968D6" w:rsidP="00DA0A65">
      <w:pPr>
        <w:spacing w:after="120" w:line="240" w:lineRule="auto"/>
        <w:ind w:left="426" w:hanging="426"/>
        <w:jc w:val="both"/>
        <w:rPr>
          <w:rFonts w:ascii="Times New Roman" w:hAnsi="Times New Roman" w:cs="Times New Roman"/>
          <w:sz w:val="24"/>
          <w:szCs w:val="24"/>
        </w:rPr>
      </w:pPr>
      <w:r w:rsidRPr="004664FE">
        <w:rPr>
          <w:rFonts w:ascii="Times New Roman" w:hAnsi="Times New Roman" w:cs="Times New Roman"/>
          <w:color w:val="222222"/>
          <w:sz w:val="24"/>
          <w:szCs w:val="24"/>
          <w:shd w:val="clear" w:color="auto" w:fill="FFFFFF"/>
        </w:rPr>
        <w:t xml:space="preserve"> Jayachandran, S., Kalaignanam, K., &amp; Eilert, M. (2013). Product and environmental social performance: Varying effect on firm performance. </w:t>
      </w:r>
      <w:r w:rsidRPr="004664FE">
        <w:rPr>
          <w:rFonts w:ascii="Times New Roman" w:hAnsi="Times New Roman" w:cs="Times New Roman"/>
          <w:b/>
          <w:bCs/>
          <w:i/>
          <w:iCs/>
          <w:color w:val="222222"/>
          <w:sz w:val="24"/>
          <w:szCs w:val="24"/>
          <w:shd w:val="clear" w:color="auto" w:fill="FFFFFF"/>
        </w:rPr>
        <w:t>Strategic Management Journal</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34</w:t>
      </w:r>
      <w:r w:rsidRPr="004664FE">
        <w:rPr>
          <w:rFonts w:ascii="Times New Roman" w:hAnsi="Times New Roman" w:cs="Times New Roman"/>
          <w:color w:val="222222"/>
          <w:sz w:val="24"/>
          <w:szCs w:val="24"/>
          <w:shd w:val="clear" w:color="auto" w:fill="FFFFFF"/>
        </w:rPr>
        <w:t>(10), 1255-1264.</w:t>
      </w:r>
    </w:p>
    <w:p w14:paraId="617F8743" w14:textId="157D704A" w:rsidR="00DA0A65" w:rsidRPr="004664FE" w:rsidRDefault="008968D6" w:rsidP="00DA0A65">
      <w:pPr>
        <w:spacing w:after="120" w:line="240" w:lineRule="auto"/>
        <w:ind w:left="426" w:hanging="426"/>
        <w:jc w:val="both"/>
        <w:rPr>
          <w:rFonts w:ascii="Times New Roman" w:hAnsi="Times New Roman" w:cs="Times New Roman"/>
          <w:sz w:val="24"/>
          <w:lang w:val="es-ES"/>
        </w:rPr>
      </w:pPr>
      <w:r w:rsidRPr="004664FE">
        <w:rPr>
          <w:rFonts w:ascii="Times New Roman" w:hAnsi="Times New Roman" w:cs="Times New Roman"/>
          <w:sz w:val="24"/>
        </w:rPr>
        <w:t xml:space="preserve">Jeong, Y., &amp; Yoon, B. (2015). Development of patent roadmap based on technology roadmap by analyzing patterns of patent development. </w:t>
      </w:r>
      <w:r w:rsidRPr="004664FE">
        <w:rPr>
          <w:rFonts w:ascii="Times New Roman" w:hAnsi="Times New Roman" w:cs="Times New Roman"/>
          <w:b/>
          <w:i/>
          <w:sz w:val="24"/>
          <w:lang w:val="es-ES"/>
        </w:rPr>
        <w:t>Technovation</w:t>
      </w:r>
      <w:r w:rsidRPr="004664FE">
        <w:rPr>
          <w:rFonts w:ascii="Times New Roman" w:hAnsi="Times New Roman" w:cs="Times New Roman"/>
          <w:sz w:val="24"/>
          <w:lang w:val="es-ES"/>
        </w:rPr>
        <w:t>, 39: 37-52.</w:t>
      </w:r>
    </w:p>
    <w:p w14:paraId="74750EF2" w14:textId="77777777" w:rsidR="00DA0A65" w:rsidRPr="004664FE" w:rsidRDefault="008968D6" w:rsidP="00DA0A65">
      <w:pPr>
        <w:spacing w:after="120" w:line="240" w:lineRule="auto"/>
        <w:ind w:left="426" w:hanging="426"/>
        <w:jc w:val="both"/>
        <w:rPr>
          <w:rFonts w:ascii="Times New Roman" w:hAnsi="Times New Roman" w:cs="Times New Roman"/>
          <w:sz w:val="24"/>
          <w:szCs w:val="24"/>
        </w:rPr>
      </w:pPr>
      <w:r w:rsidRPr="004664FE">
        <w:rPr>
          <w:rFonts w:ascii="Times New Roman" w:hAnsi="Times New Roman" w:cs="Times New Roman"/>
          <w:color w:val="222222"/>
          <w:sz w:val="24"/>
          <w:szCs w:val="24"/>
          <w:shd w:val="clear" w:color="auto" w:fill="FFFFFF"/>
          <w:lang w:val="es-ES"/>
        </w:rPr>
        <w:t>Kiefer, C. P., Del Rio Gonzalez, P., &amp; Carrillo</w:t>
      </w:r>
      <w:r w:rsidRPr="004664FE">
        <w:rPr>
          <w:rFonts w:ascii="Times New Roman" w:hAnsi="Times New Roman"/>
          <w:color w:val="222222"/>
          <w:sz w:val="24"/>
          <w:shd w:val="clear" w:color="auto" w:fill="FFFFFF"/>
          <w:lang w:val="es-ES"/>
        </w:rPr>
        <w:t>‐</w:t>
      </w:r>
      <w:r w:rsidRPr="004664FE">
        <w:rPr>
          <w:rFonts w:ascii="Times New Roman" w:hAnsi="Times New Roman" w:cs="Times New Roman"/>
          <w:color w:val="222222"/>
          <w:sz w:val="24"/>
          <w:szCs w:val="24"/>
          <w:shd w:val="clear" w:color="auto" w:fill="FFFFFF"/>
          <w:lang w:val="es-ES"/>
        </w:rPr>
        <w:t xml:space="preserve">Hermosilla, J. (2019). </w:t>
      </w:r>
      <w:r w:rsidRPr="004664FE">
        <w:rPr>
          <w:rFonts w:ascii="Times New Roman" w:hAnsi="Times New Roman" w:cs="Times New Roman"/>
          <w:color w:val="222222"/>
          <w:sz w:val="24"/>
          <w:szCs w:val="24"/>
          <w:shd w:val="clear" w:color="auto" w:fill="FFFFFF"/>
        </w:rPr>
        <w:t>Drivers and barriers of eco</w:t>
      </w:r>
      <w:r w:rsidRPr="004664FE">
        <w:rPr>
          <w:rFonts w:ascii="Times New Roman" w:hAnsi="Times New Roman"/>
          <w:color w:val="222222"/>
          <w:sz w:val="24"/>
          <w:shd w:val="clear" w:color="auto" w:fill="FFFFFF"/>
        </w:rPr>
        <w:t>‐</w:t>
      </w:r>
      <w:r w:rsidRPr="004664FE">
        <w:rPr>
          <w:rFonts w:ascii="Times New Roman" w:hAnsi="Times New Roman" w:cs="Times New Roman"/>
          <w:color w:val="222222"/>
          <w:sz w:val="24"/>
          <w:szCs w:val="24"/>
          <w:shd w:val="clear" w:color="auto" w:fill="FFFFFF"/>
        </w:rPr>
        <w:t>innovation types for sustainable transitions: A quantitative perspective. </w:t>
      </w:r>
      <w:r w:rsidRPr="004664FE">
        <w:rPr>
          <w:rFonts w:ascii="Times New Roman" w:hAnsi="Times New Roman" w:cs="Times New Roman"/>
          <w:b/>
          <w:bCs/>
          <w:i/>
          <w:iCs/>
          <w:color w:val="222222"/>
          <w:sz w:val="24"/>
          <w:szCs w:val="24"/>
          <w:shd w:val="clear" w:color="auto" w:fill="FFFFFF"/>
        </w:rPr>
        <w:t>Business Strategy and the Environment</w:t>
      </w:r>
      <w:r w:rsidRPr="004664FE">
        <w:rPr>
          <w:rFonts w:ascii="Times New Roman" w:hAnsi="Times New Roman" w:cs="Times New Roman"/>
          <w:b/>
          <w:bCs/>
          <w:color w:val="222222"/>
          <w:sz w:val="24"/>
          <w:szCs w:val="24"/>
          <w:shd w:val="clear" w:color="auto" w:fill="FFFFFF"/>
        </w:rPr>
        <w:t>,</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28</w:t>
      </w:r>
      <w:r w:rsidRPr="004664FE">
        <w:rPr>
          <w:rFonts w:ascii="Times New Roman" w:hAnsi="Times New Roman" w:cs="Times New Roman"/>
          <w:color w:val="222222"/>
          <w:sz w:val="24"/>
          <w:szCs w:val="24"/>
          <w:shd w:val="clear" w:color="auto" w:fill="FFFFFF"/>
        </w:rPr>
        <w:t>(1), 155-172.</w:t>
      </w:r>
    </w:p>
    <w:p w14:paraId="49CB528C" w14:textId="08497292"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Kücher, A., Mayr, S., Mitter, C., Duller, C., &amp; Feldbauer-Durstmüller, B. (2018). Firm age dynamics and causes of corporate bankruptcy: age dependent explanations for business failure. </w:t>
      </w:r>
      <w:r w:rsidRPr="004664FE">
        <w:rPr>
          <w:rFonts w:ascii="Times New Roman" w:hAnsi="Times New Roman" w:cs="Times New Roman"/>
          <w:b/>
          <w:i/>
          <w:color w:val="222222"/>
          <w:sz w:val="24"/>
          <w:shd w:val="clear" w:color="auto" w:fill="FFFFFF"/>
        </w:rPr>
        <w:t>Review of Managerial Science</w:t>
      </w:r>
      <w:r w:rsidRPr="004664FE">
        <w:rPr>
          <w:rFonts w:ascii="Times New Roman" w:hAnsi="Times New Roman" w:cs="Times New Roman"/>
          <w:color w:val="222222"/>
          <w:sz w:val="24"/>
          <w:shd w:val="clear" w:color="auto" w:fill="FFFFFF"/>
        </w:rPr>
        <w:t>, 1-29.</w:t>
      </w:r>
    </w:p>
    <w:p w14:paraId="182AAFC9" w14:textId="04BCFA8C"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Lee, K. H., &amp; Min, B. (2015). Green R&amp;D for eco-innovation and its impact on carbon emissions and firm performance. </w:t>
      </w:r>
      <w:r w:rsidRPr="004664FE">
        <w:rPr>
          <w:rFonts w:ascii="Times New Roman" w:hAnsi="Times New Roman" w:cs="Times New Roman"/>
          <w:b/>
          <w:i/>
          <w:sz w:val="24"/>
        </w:rPr>
        <w:t>Journal of Cleaner Production</w:t>
      </w:r>
      <w:r w:rsidRPr="004664FE">
        <w:rPr>
          <w:rFonts w:ascii="Times New Roman" w:hAnsi="Times New Roman" w:cs="Times New Roman"/>
          <w:sz w:val="24"/>
        </w:rPr>
        <w:t>, 108: 534-542.</w:t>
      </w:r>
    </w:p>
    <w:p w14:paraId="38A66D37" w14:textId="60E4867A" w:rsidR="00DA0A65" w:rsidRPr="004664FE" w:rsidRDefault="008968D6" w:rsidP="00DA0A65">
      <w:pPr>
        <w:spacing w:after="120" w:line="240" w:lineRule="auto"/>
        <w:ind w:left="426" w:hanging="426"/>
        <w:jc w:val="both"/>
        <w:rPr>
          <w:rFonts w:ascii="Times New Roman" w:hAnsi="Times New Roman" w:cs="Times New Roman"/>
          <w:sz w:val="24"/>
        </w:rPr>
      </w:pPr>
      <w:bookmarkStart w:id="26" w:name="_Hlk64565091"/>
      <w:r w:rsidRPr="004664FE">
        <w:rPr>
          <w:rFonts w:ascii="Times New Roman" w:hAnsi="Times New Roman" w:cs="Times New Roman"/>
          <w:sz w:val="24"/>
        </w:rPr>
        <w:t>Lee, J., Veloso, F. M., &amp; Hounshell, D. A. (2011</w:t>
      </w:r>
      <w:bookmarkEnd w:id="26"/>
      <w:r w:rsidRPr="004664FE">
        <w:rPr>
          <w:rFonts w:ascii="Times New Roman" w:hAnsi="Times New Roman" w:cs="Times New Roman"/>
          <w:sz w:val="24"/>
        </w:rPr>
        <w:t xml:space="preserve">). Linking induced technological change, and environmental regulation: Evidence from patenting in the US auto industry. </w:t>
      </w:r>
      <w:r w:rsidRPr="004664FE">
        <w:rPr>
          <w:rFonts w:ascii="Times New Roman" w:hAnsi="Times New Roman" w:cs="Times New Roman"/>
          <w:b/>
          <w:i/>
          <w:sz w:val="24"/>
        </w:rPr>
        <w:t>Research Policy</w:t>
      </w:r>
      <w:r w:rsidRPr="004664FE">
        <w:rPr>
          <w:rFonts w:ascii="Times New Roman" w:hAnsi="Times New Roman" w:cs="Times New Roman"/>
          <w:sz w:val="24"/>
        </w:rPr>
        <w:t>, 40(9): 1240-1252.</w:t>
      </w:r>
    </w:p>
    <w:p w14:paraId="63B89D7C" w14:textId="3A07EA4F"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Leonard</w:t>
      </w:r>
      <w:r w:rsidRPr="004664FE">
        <w:rPr>
          <w:rFonts w:ascii="Times New Roman" w:hAnsi="Times New Roman"/>
          <w:color w:val="222222"/>
          <w:sz w:val="24"/>
          <w:shd w:val="clear" w:color="auto" w:fill="FFFFFF"/>
        </w:rPr>
        <w:t>‐</w:t>
      </w:r>
      <w:r w:rsidRPr="004664FE">
        <w:rPr>
          <w:rFonts w:ascii="Times New Roman" w:hAnsi="Times New Roman" w:cs="Times New Roman"/>
          <w:color w:val="222222"/>
          <w:sz w:val="24"/>
          <w:shd w:val="clear" w:color="auto" w:fill="FFFFFF"/>
        </w:rPr>
        <w:t>Barton, D. (1992). Core capabilities and core rigidities: A paradox in managing new product development. </w:t>
      </w:r>
      <w:r w:rsidRPr="004664FE">
        <w:rPr>
          <w:rFonts w:ascii="Times New Roman" w:hAnsi="Times New Roman" w:cs="Times New Roman"/>
          <w:b/>
          <w:i/>
          <w:color w:val="222222"/>
          <w:sz w:val="24"/>
          <w:shd w:val="clear" w:color="auto" w:fill="FFFFFF"/>
        </w:rPr>
        <w:t>Strategic Management Journal</w:t>
      </w:r>
      <w:r w:rsidRPr="004664FE">
        <w:rPr>
          <w:rFonts w:ascii="Times New Roman" w:hAnsi="Times New Roman" w:cs="Times New Roman"/>
          <w:color w:val="222222"/>
          <w:sz w:val="24"/>
          <w:shd w:val="clear" w:color="auto" w:fill="FFFFFF"/>
        </w:rPr>
        <w:t>, 13(S1): 111-125.</w:t>
      </w:r>
    </w:p>
    <w:p w14:paraId="3C7E9B54" w14:textId="5CB4B96E"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Leoncini, R., Marzucchi, A., Montresor, S., Rentocchini, F., &amp; Rizzo, U. (2019). ‘Better late than never’: the interplay between green technology and age for firm growth. </w:t>
      </w:r>
      <w:r w:rsidRPr="004664FE">
        <w:rPr>
          <w:rFonts w:ascii="Times New Roman" w:hAnsi="Times New Roman" w:cs="Times New Roman"/>
          <w:b/>
          <w:i/>
          <w:color w:val="222222"/>
          <w:sz w:val="24"/>
          <w:shd w:val="clear" w:color="auto" w:fill="FFFFFF"/>
        </w:rPr>
        <w:t>Small Business Economics</w:t>
      </w:r>
      <w:r w:rsidRPr="004664FE">
        <w:rPr>
          <w:rFonts w:ascii="Times New Roman" w:hAnsi="Times New Roman" w:cs="Times New Roman"/>
          <w:color w:val="222222"/>
          <w:sz w:val="24"/>
          <w:shd w:val="clear" w:color="auto" w:fill="FFFFFF"/>
        </w:rPr>
        <w:t>, 52(4): 891-904.</w:t>
      </w:r>
    </w:p>
    <w:p w14:paraId="6019B3F7" w14:textId="1C3A9DE9"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lang w:val="fr-FR"/>
        </w:rPr>
      </w:pPr>
      <w:r w:rsidRPr="004664FE">
        <w:rPr>
          <w:rFonts w:ascii="Times New Roman" w:hAnsi="Times New Roman" w:cs="Times New Roman"/>
          <w:color w:val="222222"/>
          <w:sz w:val="24"/>
          <w:shd w:val="clear" w:color="auto" w:fill="FFFFFF"/>
        </w:rPr>
        <w:lastRenderedPageBreak/>
        <w:t xml:space="preserve">Leyva-de la Hiz, D. I. (2019). Environmental innovations and policy network styles: The influence of pluralism and corporativism. </w:t>
      </w:r>
      <w:r w:rsidRPr="004664FE">
        <w:rPr>
          <w:rFonts w:ascii="Times New Roman" w:hAnsi="Times New Roman" w:cs="Times New Roman"/>
          <w:b/>
          <w:i/>
          <w:color w:val="222222"/>
          <w:sz w:val="24"/>
          <w:shd w:val="clear" w:color="auto" w:fill="FFFFFF"/>
          <w:lang w:val="fr-FR"/>
        </w:rPr>
        <w:t>Journal of Cleaner Production</w:t>
      </w:r>
      <w:r w:rsidRPr="004664FE">
        <w:rPr>
          <w:rFonts w:ascii="Times New Roman" w:hAnsi="Times New Roman" w:cs="Times New Roman"/>
          <w:color w:val="222222"/>
          <w:sz w:val="24"/>
          <w:shd w:val="clear" w:color="auto" w:fill="FFFFFF"/>
          <w:lang w:val="fr-FR"/>
        </w:rPr>
        <w:t>, 232 (Sept): 839-847.</w:t>
      </w:r>
    </w:p>
    <w:p w14:paraId="5519EB63" w14:textId="0FC8AB2B"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lang w:val="fr-FR"/>
        </w:rPr>
        <w:t xml:space="preserve">Leyva-de la Hiz, D. I., Ferron-Vilchez, V., &amp; Aragon-Correa, J. A. (2019). </w:t>
      </w:r>
      <w:r w:rsidRPr="004664FE">
        <w:rPr>
          <w:rFonts w:ascii="Times New Roman" w:hAnsi="Times New Roman" w:cs="Times New Roman"/>
          <w:sz w:val="24"/>
        </w:rPr>
        <w:t xml:space="preserve">Do firms’ slack resources influence the relationship between focused environmental innovations and financial performance? More is not always better. </w:t>
      </w:r>
      <w:r w:rsidRPr="004664FE">
        <w:rPr>
          <w:rFonts w:ascii="Times New Roman" w:hAnsi="Times New Roman" w:cs="Times New Roman"/>
          <w:b/>
          <w:i/>
          <w:sz w:val="24"/>
        </w:rPr>
        <w:t>Journal of Business Ethics</w:t>
      </w:r>
      <w:r w:rsidRPr="004664FE">
        <w:rPr>
          <w:rFonts w:ascii="Times New Roman" w:hAnsi="Times New Roman" w:cs="Times New Roman"/>
          <w:sz w:val="24"/>
        </w:rPr>
        <w:t>, 159(4): 1215-1227.</w:t>
      </w:r>
    </w:p>
    <w:p w14:paraId="5E681AF1" w14:textId="77777777" w:rsidR="00DA0A65" w:rsidRPr="004664FE" w:rsidRDefault="008968D6" w:rsidP="00DA0A65">
      <w:pPr>
        <w:spacing w:after="120" w:line="240" w:lineRule="auto"/>
        <w:ind w:left="426" w:hanging="426"/>
        <w:jc w:val="both"/>
        <w:rPr>
          <w:rFonts w:ascii="Times New Roman" w:hAnsi="Times New Roman" w:cs="Times New Roman"/>
          <w:sz w:val="24"/>
          <w:szCs w:val="24"/>
        </w:rPr>
      </w:pPr>
      <w:r w:rsidRPr="004664FE">
        <w:rPr>
          <w:rFonts w:ascii="Times New Roman" w:hAnsi="Times New Roman" w:cs="Times New Roman"/>
          <w:color w:val="222222"/>
          <w:sz w:val="24"/>
          <w:szCs w:val="24"/>
          <w:shd w:val="clear" w:color="auto" w:fill="FFFFFF"/>
        </w:rPr>
        <w:t>Li, Z., Liao, G., &amp; Albitar, K. (2020). Does corporate environmental responsibility engagement affect firm value? The mediating role of corporate innovation. </w:t>
      </w:r>
      <w:r w:rsidRPr="004664FE">
        <w:rPr>
          <w:rFonts w:ascii="Times New Roman" w:hAnsi="Times New Roman" w:cs="Times New Roman"/>
          <w:b/>
          <w:bCs/>
          <w:i/>
          <w:iCs/>
          <w:color w:val="222222"/>
          <w:sz w:val="24"/>
          <w:szCs w:val="24"/>
          <w:shd w:val="clear" w:color="auto" w:fill="FFFFFF"/>
        </w:rPr>
        <w:t>Business Strategy and the Environment</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29</w:t>
      </w:r>
      <w:r w:rsidRPr="004664FE">
        <w:rPr>
          <w:rFonts w:ascii="Times New Roman" w:hAnsi="Times New Roman" w:cs="Times New Roman"/>
          <w:color w:val="222222"/>
          <w:sz w:val="24"/>
          <w:szCs w:val="24"/>
          <w:shd w:val="clear" w:color="auto" w:fill="FFFFFF"/>
        </w:rPr>
        <w:t>(3), 1045-1055.</w:t>
      </w:r>
    </w:p>
    <w:p w14:paraId="5ADE718E" w14:textId="205B5AF4"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Lieberman, M. B., and Montgomery, D. B. (1988). First</w:t>
      </w:r>
      <w:r w:rsidRPr="004664FE">
        <w:rPr>
          <w:rFonts w:ascii="Times New Roman" w:hAnsi="Times New Roman"/>
          <w:sz w:val="24"/>
        </w:rPr>
        <w:t>‐</w:t>
      </w:r>
      <w:r w:rsidRPr="004664FE">
        <w:rPr>
          <w:rFonts w:ascii="Times New Roman" w:hAnsi="Times New Roman" w:cs="Times New Roman"/>
          <w:sz w:val="24"/>
        </w:rPr>
        <w:t xml:space="preserve">mover advantages. </w:t>
      </w:r>
      <w:r w:rsidRPr="004664FE">
        <w:rPr>
          <w:rFonts w:ascii="Times New Roman" w:hAnsi="Times New Roman" w:cs="Times New Roman"/>
          <w:b/>
          <w:i/>
          <w:sz w:val="24"/>
        </w:rPr>
        <w:t>Strategic Management Journal</w:t>
      </w:r>
      <w:r w:rsidRPr="004664FE">
        <w:rPr>
          <w:rFonts w:ascii="Times New Roman" w:hAnsi="Times New Roman" w:cs="Times New Roman"/>
          <w:sz w:val="24"/>
        </w:rPr>
        <w:t>, 9: 41–58.</w:t>
      </w:r>
    </w:p>
    <w:p w14:paraId="22B744E8" w14:textId="6BBCFD4F"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Loderer, C., Stulz, R., &amp; Waelchli, U. (2016). Firm rigidities and the decline in growth opportunities. </w:t>
      </w:r>
      <w:r w:rsidRPr="004664FE">
        <w:rPr>
          <w:rFonts w:ascii="Times New Roman" w:hAnsi="Times New Roman" w:cs="Times New Roman"/>
          <w:b/>
          <w:i/>
          <w:color w:val="222222"/>
          <w:sz w:val="24"/>
          <w:shd w:val="clear" w:color="auto" w:fill="FFFFFF"/>
        </w:rPr>
        <w:t>Management Science</w:t>
      </w:r>
      <w:r w:rsidRPr="004664FE">
        <w:rPr>
          <w:rFonts w:ascii="Times New Roman" w:hAnsi="Times New Roman" w:cs="Times New Roman"/>
          <w:color w:val="222222"/>
          <w:sz w:val="24"/>
          <w:shd w:val="clear" w:color="auto" w:fill="FFFFFF"/>
        </w:rPr>
        <w:t>, 63(9): 3000-3020.</w:t>
      </w:r>
    </w:p>
    <w:p w14:paraId="6BDB3678" w14:textId="77777777" w:rsidR="00DA0A65" w:rsidRPr="004664FE" w:rsidRDefault="008968D6" w:rsidP="00DA0A65">
      <w:pPr>
        <w:spacing w:after="120" w:line="240"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t>Medase, S. K. (2020). Product innovation and employees’ slack time. The moderating role of firm age &amp; size. </w:t>
      </w:r>
      <w:r w:rsidRPr="004664FE">
        <w:rPr>
          <w:rFonts w:ascii="Times New Roman" w:hAnsi="Times New Roman" w:cs="Times New Roman"/>
          <w:b/>
          <w:bCs/>
          <w:i/>
          <w:iCs/>
          <w:color w:val="222222"/>
          <w:sz w:val="24"/>
          <w:szCs w:val="24"/>
          <w:shd w:val="clear" w:color="auto" w:fill="FFFFFF"/>
        </w:rPr>
        <w:t>Journal of Innovation &amp; Knowledge</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5</w:t>
      </w:r>
      <w:r w:rsidRPr="004664FE">
        <w:rPr>
          <w:rFonts w:ascii="Times New Roman" w:hAnsi="Times New Roman" w:cs="Times New Roman"/>
          <w:color w:val="222222"/>
          <w:sz w:val="24"/>
          <w:szCs w:val="24"/>
          <w:shd w:val="clear" w:color="auto" w:fill="FFFFFF"/>
        </w:rPr>
        <w:t>(3), 151-174.</w:t>
      </w:r>
    </w:p>
    <w:p w14:paraId="53C590A7" w14:textId="4C4EA228"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lang w:val="fr-FR"/>
        </w:rPr>
        <w:t xml:space="preserve">Manget, J., Roche, C., &amp; Münnich, F. (2009). </w:t>
      </w:r>
      <w:r w:rsidRPr="004664FE">
        <w:rPr>
          <w:rFonts w:ascii="Times New Roman" w:hAnsi="Times New Roman" w:cs="Times New Roman"/>
          <w:sz w:val="24"/>
        </w:rPr>
        <w:t xml:space="preserve">For real, not just for show. </w:t>
      </w:r>
      <w:r w:rsidRPr="004664FE">
        <w:rPr>
          <w:rFonts w:ascii="Times New Roman" w:hAnsi="Times New Roman" w:cs="Times New Roman"/>
          <w:b/>
          <w:i/>
          <w:sz w:val="24"/>
        </w:rPr>
        <w:t>MIT Sloan Management Review,</w:t>
      </w:r>
      <w:r w:rsidRPr="004664FE">
        <w:rPr>
          <w:rFonts w:ascii="Times New Roman" w:hAnsi="Times New Roman" w:cs="Times New Roman"/>
          <w:sz w:val="24"/>
        </w:rPr>
        <w:t xml:space="preserve"> 25.</w:t>
      </w:r>
    </w:p>
    <w:p w14:paraId="5D4B48A2"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March, J. G. (1991). Exploration and exploitation in organizational learning. </w:t>
      </w:r>
      <w:r w:rsidRPr="004664FE">
        <w:rPr>
          <w:rFonts w:ascii="Times New Roman" w:hAnsi="Times New Roman" w:cs="Times New Roman"/>
          <w:b/>
          <w:bCs/>
          <w:i/>
          <w:iCs/>
          <w:sz w:val="24"/>
        </w:rPr>
        <w:t>Organization Science</w:t>
      </w:r>
      <w:r w:rsidRPr="004664FE">
        <w:rPr>
          <w:rFonts w:ascii="Times New Roman" w:hAnsi="Times New Roman" w:cs="Times New Roman"/>
          <w:sz w:val="24"/>
        </w:rPr>
        <w:t>, 2(1), 71-87.</w:t>
      </w:r>
    </w:p>
    <w:p w14:paraId="2C2E5342" w14:textId="7FAFA614"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Nicholls, A., &amp; Opal, C. (2005). </w:t>
      </w:r>
      <w:r w:rsidRPr="004664FE">
        <w:rPr>
          <w:rFonts w:ascii="Times New Roman" w:hAnsi="Times New Roman" w:cs="Times New Roman"/>
          <w:b/>
          <w:i/>
          <w:color w:val="222222"/>
          <w:sz w:val="24"/>
          <w:shd w:val="clear" w:color="auto" w:fill="FFFFFF"/>
        </w:rPr>
        <w:t>Fair trade: Market-driven ethical consumption</w:t>
      </w:r>
      <w:r w:rsidRPr="004664FE">
        <w:rPr>
          <w:rFonts w:ascii="Times New Roman" w:hAnsi="Times New Roman" w:cs="Times New Roman"/>
          <w:color w:val="222222"/>
          <w:sz w:val="24"/>
          <w:shd w:val="clear" w:color="auto" w:fill="FFFFFF"/>
        </w:rPr>
        <w:t>. Sage.</w:t>
      </w:r>
    </w:p>
    <w:p w14:paraId="083CCDBE" w14:textId="106C028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Peeters, C., &amp; de la Potterie, B. V. P. (2006). Innovation strategy and the patenting behavior of firms. </w:t>
      </w:r>
      <w:r w:rsidRPr="004664FE">
        <w:rPr>
          <w:rFonts w:ascii="Times New Roman" w:hAnsi="Times New Roman" w:cs="Times New Roman"/>
          <w:b/>
          <w:i/>
          <w:sz w:val="24"/>
        </w:rPr>
        <w:t>Journal of Evolutionary Economics</w:t>
      </w:r>
      <w:r w:rsidRPr="004664FE">
        <w:rPr>
          <w:rFonts w:ascii="Times New Roman" w:hAnsi="Times New Roman" w:cs="Times New Roman"/>
          <w:sz w:val="24"/>
        </w:rPr>
        <w:t>, 16(1-2): 109-135.</w:t>
      </w:r>
    </w:p>
    <w:p w14:paraId="1FAD9F6F" w14:textId="1AA99EC8" w:rsidR="00DA0A65" w:rsidRPr="004664FE" w:rsidRDefault="008968D6" w:rsidP="00DA0A65">
      <w:pPr>
        <w:autoSpaceDE w:val="0"/>
        <w:autoSpaceDN w:val="0"/>
        <w:adjustRightInd w:val="0"/>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Petruzzelli, A. M., Ardito, L., &amp; Savino, T. (2018). Maturity of knowledge inputs and innovation value: The moderating effect of firm age and size. </w:t>
      </w:r>
      <w:r w:rsidRPr="004664FE">
        <w:rPr>
          <w:rFonts w:ascii="Times New Roman" w:hAnsi="Times New Roman" w:cs="Times New Roman"/>
          <w:b/>
          <w:i/>
          <w:color w:val="222222"/>
          <w:sz w:val="24"/>
          <w:shd w:val="clear" w:color="auto" w:fill="FFFFFF"/>
        </w:rPr>
        <w:t>Journal of Business Research</w:t>
      </w:r>
      <w:r w:rsidRPr="004664FE">
        <w:rPr>
          <w:rFonts w:ascii="Times New Roman" w:hAnsi="Times New Roman" w:cs="Times New Roman"/>
          <w:color w:val="222222"/>
          <w:sz w:val="24"/>
          <w:shd w:val="clear" w:color="auto" w:fill="FFFFFF"/>
        </w:rPr>
        <w:t>, 86: 190-201.</w:t>
      </w:r>
    </w:p>
    <w:p w14:paraId="62CA1BA5" w14:textId="783D18CC"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Porter, M.E., and van der Linde, C. (1995). Green and Competitive. </w:t>
      </w:r>
      <w:r w:rsidRPr="004664FE">
        <w:rPr>
          <w:rFonts w:ascii="Times New Roman" w:hAnsi="Times New Roman" w:cs="Times New Roman"/>
          <w:b/>
          <w:i/>
          <w:sz w:val="24"/>
        </w:rPr>
        <w:t>Harvard Business Review</w:t>
      </w:r>
      <w:r w:rsidRPr="004664FE">
        <w:rPr>
          <w:rFonts w:ascii="Times New Roman" w:hAnsi="Times New Roman" w:cs="Times New Roman"/>
          <w:sz w:val="24"/>
        </w:rPr>
        <w:t>, 73(5): 120–134.</w:t>
      </w:r>
    </w:p>
    <w:p w14:paraId="7E937D3A"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REN21. 2011. </w:t>
      </w:r>
      <w:r w:rsidRPr="004664FE">
        <w:rPr>
          <w:rFonts w:ascii="Times New Roman" w:hAnsi="Times New Roman" w:cs="Times New Roman"/>
          <w:b/>
          <w:i/>
          <w:sz w:val="24"/>
        </w:rPr>
        <w:t>Renewables 2011 – Global Status Report</w:t>
      </w:r>
      <w:r w:rsidRPr="004664FE">
        <w:rPr>
          <w:rFonts w:ascii="Times New Roman" w:hAnsi="Times New Roman" w:cs="Times New Roman"/>
          <w:sz w:val="24"/>
        </w:rPr>
        <w:t>. Paris: REN21 Secretariat.</w:t>
      </w:r>
    </w:p>
    <w:p w14:paraId="7B3816AC" w14:textId="1DED1430"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Rennings, K. (2000). Redefining innovation—eco-innovation research and the contribution from ecological economics. </w:t>
      </w:r>
      <w:r w:rsidRPr="004664FE">
        <w:rPr>
          <w:rFonts w:ascii="Times New Roman" w:hAnsi="Times New Roman" w:cs="Times New Roman"/>
          <w:b/>
          <w:i/>
          <w:sz w:val="24"/>
        </w:rPr>
        <w:t>Ecological Economics</w:t>
      </w:r>
      <w:r w:rsidRPr="004664FE">
        <w:rPr>
          <w:rFonts w:ascii="Times New Roman" w:hAnsi="Times New Roman" w:cs="Times New Roman"/>
          <w:sz w:val="24"/>
        </w:rPr>
        <w:t>, 32(2): 319-332.</w:t>
      </w:r>
    </w:p>
    <w:p w14:paraId="31CAC763" w14:textId="2B2C495C" w:rsidR="00DA0A65" w:rsidRPr="004664FE" w:rsidRDefault="008968D6" w:rsidP="00DA0A65">
      <w:pPr>
        <w:spacing w:after="120" w:line="240" w:lineRule="auto"/>
        <w:ind w:left="426" w:hanging="426"/>
        <w:jc w:val="both"/>
        <w:rPr>
          <w:rFonts w:ascii="Times New Roman" w:hAnsi="Times New Roman" w:cs="Times New Roman"/>
          <w:color w:val="222222"/>
          <w:sz w:val="24"/>
          <w:shd w:val="clear" w:color="auto" w:fill="FFFFFF"/>
        </w:rPr>
      </w:pPr>
      <w:r w:rsidRPr="004664FE">
        <w:rPr>
          <w:rFonts w:ascii="Times New Roman" w:hAnsi="Times New Roman" w:cs="Times New Roman"/>
          <w:color w:val="222222"/>
          <w:sz w:val="24"/>
          <w:shd w:val="clear" w:color="auto" w:fill="FFFFFF"/>
        </w:rPr>
        <w:t>Rossi, M. (2016). The impact of age on firm performance: a literature review. </w:t>
      </w:r>
      <w:r w:rsidRPr="004664FE">
        <w:rPr>
          <w:rFonts w:ascii="Times New Roman" w:hAnsi="Times New Roman" w:cs="Times New Roman"/>
          <w:b/>
          <w:i/>
          <w:color w:val="222222"/>
          <w:sz w:val="24"/>
          <w:shd w:val="clear" w:color="auto" w:fill="FFFFFF"/>
        </w:rPr>
        <w:t>Corporate Ownership &amp; Control</w:t>
      </w:r>
      <w:r w:rsidRPr="004664FE">
        <w:rPr>
          <w:rFonts w:ascii="Times New Roman" w:hAnsi="Times New Roman" w:cs="Times New Roman"/>
          <w:color w:val="222222"/>
          <w:sz w:val="24"/>
          <w:shd w:val="clear" w:color="auto" w:fill="FFFFFF"/>
        </w:rPr>
        <w:t>, 13(2): 217-223.</w:t>
      </w:r>
    </w:p>
    <w:p w14:paraId="45681DC5" w14:textId="464AF5D1" w:rsidR="00D4233D" w:rsidRPr="004664FE" w:rsidRDefault="008968D6" w:rsidP="00DA0A65">
      <w:pPr>
        <w:spacing w:after="120" w:line="240" w:lineRule="auto"/>
        <w:ind w:left="426" w:hanging="426"/>
        <w:jc w:val="both"/>
        <w:rPr>
          <w:rFonts w:ascii="Times New Roman" w:hAnsi="Times New Roman" w:cs="Times New Roman"/>
          <w:color w:val="222222"/>
          <w:sz w:val="24"/>
          <w:szCs w:val="24"/>
          <w:shd w:val="clear" w:color="auto" w:fill="FFFFFF"/>
        </w:rPr>
      </w:pPr>
      <w:r w:rsidRPr="004664FE">
        <w:rPr>
          <w:rFonts w:ascii="Times New Roman" w:hAnsi="Times New Roman" w:cs="Times New Roman"/>
          <w:color w:val="222222"/>
          <w:sz w:val="24"/>
          <w:szCs w:val="24"/>
          <w:shd w:val="clear" w:color="auto" w:fill="FFFFFF"/>
        </w:rPr>
        <w:t>Sarkees, M., Hulland, J., &amp; Chatterjee, R. (2014). Investments in exploitation and exploration capabilities: Balance versus focus. </w:t>
      </w:r>
      <w:r w:rsidRPr="004664FE">
        <w:rPr>
          <w:rFonts w:ascii="Times New Roman" w:hAnsi="Times New Roman" w:cs="Times New Roman"/>
          <w:i/>
          <w:iCs/>
          <w:color w:val="222222"/>
          <w:sz w:val="24"/>
          <w:szCs w:val="24"/>
          <w:shd w:val="clear" w:color="auto" w:fill="FFFFFF"/>
        </w:rPr>
        <w:t>Journal of Marketing Theory and Practice</w:t>
      </w:r>
      <w:r w:rsidRPr="004664FE">
        <w:rPr>
          <w:rFonts w:ascii="Times New Roman" w:hAnsi="Times New Roman" w:cs="Times New Roman"/>
          <w:color w:val="222222"/>
          <w:sz w:val="24"/>
          <w:szCs w:val="24"/>
          <w:shd w:val="clear" w:color="auto" w:fill="FFFFFF"/>
        </w:rPr>
        <w:t>, </w:t>
      </w:r>
      <w:r w:rsidRPr="004664FE">
        <w:rPr>
          <w:rFonts w:ascii="Times New Roman" w:hAnsi="Times New Roman" w:cs="Times New Roman"/>
          <w:i/>
          <w:iCs/>
          <w:color w:val="222222"/>
          <w:sz w:val="24"/>
          <w:szCs w:val="24"/>
          <w:shd w:val="clear" w:color="auto" w:fill="FFFFFF"/>
        </w:rPr>
        <w:t>22</w:t>
      </w:r>
      <w:r w:rsidRPr="004664FE">
        <w:rPr>
          <w:rFonts w:ascii="Times New Roman" w:hAnsi="Times New Roman" w:cs="Times New Roman"/>
          <w:color w:val="222222"/>
          <w:sz w:val="24"/>
          <w:szCs w:val="24"/>
          <w:shd w:val="clear" w:color="auto" w:fill="FFFFFF"/>
        </w:rPr>
        <w:t>(1), 7-24.</w:t>
      </w:r>
    </w:p>
    <w:p w14:paraId="4B4FE107" w14:textId="5D0712AE"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color w:val="222222"/>
          <w:sz w:val="24"/>
          <w:shd w:val="clear" w:color="auto" w:fill="FFFFFF"/>
        </w:rPr>
        <w:t>Shrivastava, M., &amp; Tamvada, J. P. (2019). Which green matters for whom? Greening and firm performance across age and size distribution of firms. </w:t>
      </w:r>
      <w:r w:rsidRPr="004664FE">
        <w:rPr>
          <w:rFonts w:ascii="Times New Roman" w:hAnsi="Times New Roman" w:cs="Times New Roman"/>
          <w:b/>
          <w:i/>
          <w:color w:val="222222"/>
          <w:sz w:val="24"/>
          <w:shd w:val="clear" w:color="auto" w:fill="FFFFFF"/>
        </w:rPr>
        <w:t>Small Business Economics</w:t>
      </w:r>
      <w:r w:rsidRPr="004664FE">
        <w:rPr>
          <w:rFonts w:ascii="Times New Roman" w:hAnsi="Times New Roman" w:cs="Times New Roman"/>
          <w:color w:val="222222"/>
          <w:sz w:val="24"/>
          <w:shd w:val="clear" w:color="auto" w:fill="FFFFFF"/>
        </w:rPr>
        <w:t>, 52(4): 951-968.</w:t>
      </w:r>
    </w:p>
    <w:p w14:paraId="5278AEFF" w14:textId="73648941"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Slater, D. J., &amp; Dixon-Fowler, H. R. (2009). CEO international assignment experience and corporate social performance. </w:t>
      </w:r>
      <w:r w:rsidRPr="004664FE">
        <w:rPr>
          <w:rFonts w:ascii="Times New Roman" w:hAnsi="Times New Roman" w:cs="Times New Roman"/>
          <w:b/>
          <w:i/>
          <w:sz w:val="24"/>
        </w:rPr>
        <w:t>Journal of Business Ethics</w:t>
      </w:r>
      <w:r w:rsidRPr="004664FE">
        <w:rPr>
          <w:rFonts w:ascii="Times New Roman" w:hAnsi="Times New Roman" w:cs="Times New Roman"/>
          <w:sz w:val="24"/>
        </w:rPr>
        <w:t>, 89(3): 473-489.</w:t>
      </w:r>
    </w:p>
    <w:p w14:paraId="7ADE443A" w14:textId="72F27FF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Somaya, D. (2012). Patent strategy and management: An integrative review and research agenda. </w:t>
      </w:r>
      <w:r w:rsidRPr="004664FE">
        <w:rPr>
          <w:rFonts w:ascii="Times New Roman" w:hAnsi="Times New Roman" w:cs="Times New Roman"/>
          <w:b/>
          <w:i/>
          <w:sz w:val="24"/>
        </w:rPr>
        <w:t>Journal of Management</w:t>
      </w:r>
      <w:r w:rsidRPr="004664FE">
        <w:rPr>
          <w:rFonts w:ascii="Times New Roman" w:hAnsi="Times New Roman" w:cs="Times New Roman"/>
          <w:sz w:val="24"/>
        </w:rPr>
        <w:t>, 38(4): 1084-1114.</w:t>
      </w:r>
    </w:p>
    <w:p w14:paraId="3BEC4BDF"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lastRenderedPageBreak/>
        <w:t xml:space="preserve">Steensma, H. K., Chari, M., &amp; Heidl, R. 2015. A comparative analysis of patent assertion entities in markets for intellectual property rights. </w:t>
      </w:r>
      <w:r w:rsidRPr="004664FE">
        <w:rPr>
          <w:rFonts w:ascii="Times New Roman" w:hAnsi="Times New Roman" w:cs="Times New Roman"/>
          <w:b/>
          <w:i/>
          <w:sz w:val="24"/>
        </w:rPr>
        <w:t>Organization Science</w:t>
      </w:r>
      <w:r w:rsidRPr="004664FE">
        <w:rPr>
          <w:rFonts w:ascii="Times New Roman" w:hAnsi="Times New Roman" w:cs="Times New Roman"/>
          <w:sz w:val="24"/>
        </w:rPr>
        <w:t>, 27(1): 2-17.</w:t>
      </w:r>
    </w:p>
    <w:p w14:paraId="73278BF1" w14:textId="5C242296"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Standard &amp; Poor (S&amp;P). (2019). S&amp;P Global Platts. As demand for “green” power soars, utilities turn to Guarantees of Origin. Available at: </w:t>
      </w:r>
      <w:hyperlink r:id="rId13" w:history="1">
        <w:r w:rsidRPr="004664FE">
          <w:rPr>
            <w:rStyle w:val="Hipervnculo"/>
            <w:rFonts w:ascii="Times New Roman" w:hAnsi="Times New Roman" w:cs="Times New Roman"/>
            <w:sz w:val="24"/>
          </w:rPr>
          <w:t>https://www.spglobal.com/en/research-insights/articles/as-demand-for-green-power-soars-utilities-turn-to-guarantees-of-origin</w:t>
        </w:r>
      </w:hyperlink>
    </w:p>
    <w:p w14:paraId="4F3085E6"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Standard &amp; Poor’s Compustat User’s Guide. 2003. The McGraw-Hill Companies, Inc.</w:t>
      </w:r>
    </w:p>
    <w:p w14:paraId="138DB162"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Steensma, H. K., Chari, M., &amp; Heidl, R. (2015). The quest for expansive intellectual property rights and the failure to disclose known relevant prior art. </w:t>
      </w:r>
      <w:r w:rsidRPr="004664FE">
        <w:rPr>
          <w:rFonts w:ascii="Times New Roman" w:hAnsi="Times New Roman" w:cs="Times New Roman"/>
          <w:b/>
          <w:bCs/>
          <w:i/>
          <w:iCs/>
          <w:sz w:val="24"/>
        </w:rPr>
        <w:t>Strategic Management Journal</w:t>
      </w:r>
      <w:r w:rsidRPr="004664FE">
        <w:rPr>
          <w:rFonts w:ascii="Times New Roman" w:hAnsi="Times New Roman" w:cs="Times New Roman"/>
          <w:sz w:val="24"/>
        </w:rPr>
        <w:t>, 36(8), 1186-1204.</w:t>
      </w:r>
    </w:p>
    <w:p w14:paraId="3DDAB480" w14:textId="77777777" w:rsidR="00DA0A65" w:rsidRPr="004664FE" w:rsidRDefault="008968D6" w:rsidP="00DA0A65">
      <w:pPr>
        <w:spacing w:after="120" w:line="276" w:lineRule="auto"/>
        <w:ind w:left="426" w:hanging="426"/>
        <w:jc w:val="both"/>
        <w:rPr>
          <w:rFonts w:ascii="Times New Roman" w:hAnsi="Times New Roman" w:cs="Times New Roman"/>
          <w:sz w:val="24"/>
          <w:szCs w:val="24"/>
        </w:rPr>
      </w:pPr>
      <w:r w:rsidRPr="004664FE">
        <w:rPr>
          <w:rStyle w:val="author"/>
          <w:rFonts w:ascii="Times New Roman" w:hAnsi="Times New Roman" w:cs="Times New Roman"/>
          <w:color w:val="1C1D1E"/>
          <w:sz w:val="24"/>
          <w:szCs w:val="24"/>
          <w:bdr w:val="none" w:sz="0" w:space="0" w:color="auto" w:frame="1"/>
          <w:shd w:val="clear" w:color="auto" w:fill="FFFFFF"/>
        </w:rPr>
        <w:t>Tatoglu, E.</w:t>
      </w:r>
      <w:r w:rsidRPr="004664FE">
        <w:rPr>
          <w:rFonts w:ascii="Times New Roman" w:hAnsi="Times New Roman" w:cs="Times New Roman"/>
          <w:color w:val="1C1D1E"/>
          <w:sz w:val="24"/>
          <w:szCs w:val="24"/>
          <w:bdr w:val="none" w:sz="0" w:space="0" w:color="auto" w:frame="1"/>
          <w:shd w:val="clear" w:color="auto" w:fill="FFFFFF"/>
        </w:rPr>
        <w:t>, </w:t>
      </w:r>
      <w:r w:rsidRPr="004664FE">
        <w:rPr>
          <w:rStyle w:val="author"/>
          <w:rFonts w:ascii="Times New Roman" w:hAnsi="Times New Roman" w:cs="Times New Roman"/>
          <w:color w:val="1C1D1E"/>
          <w:sz w:val="24"/>
          <w:szCs w:val="24"/>
          <w:bdr w:val="none" w:sz="0" w:space="0" w:color="auto" w:frame="1"/>
          <w:shd w:val="clear" w:color="auto" w:fill="FFFFFF"/>
        </w:rPr>
        <w:t>Bayraktar, E.</w:t>
      </w:r>
      <w:r w:rsidRPr="004664FE">
        <w:rPr>
          <w:rFonts w:ascii="Times New Roman" w:hAnsi="Times New Roman" w:cs="Times New Roman"/>
          <w:color w:val="1C1D1E"/>
          <w:sz w:val="24"/>
          <w:szCs w:val="24"/>
          <w:bdr w:val="none" w:sz="0" w:space="0" w:color="auto" w:frame="1"/>
          <w:shd w:val="clear" w:color="auto" w:fill="FFFFFF"/>
        </w:rPr>
        <w:t>, </w:t>
      </w:r>
      <w:r w:rsidRPr="004664FE">
        <w:rPr>
          <w:rStyle w:val="author"/>
          <w:rFonts w:ascii="Times New Roman" w:hAnsi="Times New Roman" w:cs="Times New Roman"/>
          <w:color w:val="1C1D1E"/>
          <w:sz w:val="24"/>
          <w:szCs w:val="24"/>
          <w:bdr w:val="none" w:sz="0" w:space="0" w:color="auto" w:frame="1"/>
          <w:shd w:val="clear" w:color="auto" w:fill="FFFFFF"/>
        </w:rPr>
        <w:t>Sahadev, S.</w:t>
      </w:r>
      <w:r w:rsidRPr="004664FE">
        <w:rPr>
          <w:rFonts w:ascii="Times New Roman" w:hAnsi="Times New Roman" w:cs="Times New Roman"/>
          <w:color w:val="1C1D1E"/>
          <w:sz w:val="24"/>
          <w:szCs w:val="24"/>
          <w:bdr w:val="none" w:sz="0" w:space="0" w:color="auto" w:frame="1"/>
          <w:shd w:val="clear" w:color="auto" w:fill="FFFFFF"/>
        </w:rPr>
        <w:t>, </w:t>
      </w:r>
      <w:r w:rsidRPr="004664FE">
        <w:rPr>
          <w:rStyle w:val="author"/>
          <w:rFonts w:ascii="Times New Roman" w:hAnsi="Times New Roman" w:cs="Times New Roman"/>
          <w:color w:val="1C1D1E"/>
          <w:sz w:val="24"/>
          <w:szCs w:val="24"/>
          <w:bdr w:val="none" w:sz="0" w:space="0" w:color="auto" w:frame="1"/>
          <w:shd w:val="clear" w:color="auto" w:fill="FFFFFF"/>
        </w:rPr>
        <w:t>Demirbag, M.</w:t>
      </w:r>
      <w:r w:rsidRPr="004664FE">
        <w:rPr>
          <w:rFonts w:ascii="Times New Roman" w:hAnsi="Times New Roman" w:cs="Times New Roman"/>
          <w:color w:val="1C1D1E"/>
          <w:sz w:val="24"/>
          <w:szCs w:val="24"/>
          <w:bdr w:val="none" w:sz="0" w:space="0" w:color="auto" w:frame="1"/>
          <w:shd w:val="clear" w:color="auto" w:fill="FFFFFF"/>
        </w:rPr>
        <w:t>, &amp; </w:t>
      </w:r>
      <w:r w:rsidRPr="004664FE">
        <w:rPr>
          <w:rStyle w:val="author"/>
          <w:rFonts w:ascii="Times New Roman" w:hAnsi="Times New Roman" w:cs="Times New Roman"/>
          <w:color w:val="1C1D1E"/>
          <w:sz w:val="24"/>
          <w:szCs w:val="24"/>
          <w:bdr w:val="none" w:sz="0" w:space="0" w:color="auto" w:frame="1"/>
          <w:shd w:val="clear" w:color="auto" w:fill="FFFFFF"/>
        </w:rPr>
        <w:t>Glaister, K. W.</w:t>
      </w:r>
      <w:r w:rsidRPr="004664FE">
        <w:rPr>
          <w:rFonts w:ascii="Times New Roman" w:hAnsi="Times New Roman" w:cs="Times New Roman"/>
          <w:color w:val="1C1D1E"/>
          <w:sz w:val="24"/>
          <w:szCs w:val="24"/>
          <w:bdr w:val="none" w:sz="0" w:space="0" w:color="auto" w:frame="1"/>
          <w:shd w:val="clear" w:color="auto" w:fill="FFFFFF"/>
        </w:rPr>
        <w:t> (</w:t>
      </w:r>
      <w:r w:rsidRPr="004664FE">
        <w:rPr>
          <w:rStyle w:val="pubyear"/>
          <w:rFonts w:ascii="Times New Roman" w:hAnsi="Times New Roman" w:cs="Times New Roman"/>
          <w:color w:val="1C1D1E"/>
          <w:sz w:val="24"/>
          <w:szCs w:val="24"/>
          <w:bdr w:val="none" w:sz="0" w:space="0" w:color="auto" w:frame="1"/>
          <w:shd w:val="clear" w:color="auto" w:fill="FFFFFF"/>
        </w:rPr>
        <w:t>2014</w:t>
      </w:r>
      <w:r w:rsidRPr="004664FE">
        <w:rPr>
          <w:rFonts w:ascii="Times New Roman" w:hAnsi="Times New Roman" w:cs="Times New Roman"/>
          <w:color w:val="1C1D1E"/>
          <w:sz w:val="24"/>
          <w:szCs w:val="24"/>
          <w:bdr w:val="none" w:sz="0" w:space="0" w:color="auto" w:frame="1"/>
          <w:shd w:val="clear" w:color="auto" w:fill="FFFFFF"/>
        </w:rPr>
        <w:t>). </w:t>
      </w:r>
      <w:r w:rsidRPr="004664FE">
        <w:rPr>
          <w:rStyle w:val="articletitle"/>
          <w:rFonts w:ascii="Times New Roman" w:hAnsi="Times New Roman" w:cs="Times New Roman"/>
          <w:color w:val="1C1D1E"/>
          <w:sz w:val="24"/>
          <w:szCs w:val="24"/>
          <w:bdr w:val="none" w:sz="0" w:space="0" w:color="auto" w:frame="1"/>
          <w:shd w:val="clear" w:color="auto" w:fill="FFFFFF"/>
        </w:rPr>
        <w:t>Determinants of voluntary environmental management practices by MNE subsidiaries</w:t>
      </w:r>
      <w:r w:rsidRPr="004664FE">
        <w:rPr>
          <w:rFonts w:ascii="Times New Roman" w:hAnsi="Times New Roman" w:cs="Times New Roman"/>
          <w:color w:val="1C1D1E"/>
          <w:sz w:val="24"/>
          <w:szCs w:val="24"/>
          <w:bdr w:val="none" w:sz="0" w:space="0" w:color="auto" w:frame="1"/>
          <w:shd w:val="clear" w:color="auto" w:fill="FFFFFF"/>
        </w:rPr>
        <w:t>. </w:t>
      </w:r>
      <w:r w:rsidRPr="004664FE">
        <w:rPr>
          <w:rFonts w:ascii="Times New Roman" w:hAnsi="Times New Roman" w:cs="Times New Roman"/>
          <w:b/>
          <w:bCs/>
          <w:i/>
          <w:iCs/>
          <w:color w:val="1C1D1E"/>
          <w:sz w:val="24"/>
          <w:szCs w:val="24"/>
          <w:shd w:val="clear" w:color="auto" w:fill="FFFFFF"/>
        </w:rPr>
        <w:t>Journal of World Business</w:t>
      </w:r>
      <w:r w:rsidRPr="004664FE">
        <w:rPr>
          <w:rFonts w:ascii="Times New Roman" w:hAnsi="Times New Roman" w:cs="Times New Roman"/>
          <w:color w:val="1C1D1E"/>
          <w:sz w:val="24"/>
          <w:szCs w:val="24"/>
          <w:bdr w:val="none" w:sz="0" w:space="0" w:color="auto" w:frame="1"/>
          <w:shd w:val="clear" w:color="auto" w:fill="FFFFFF"/>
        </w:rPr>
        <w:t>, </w:t>
      </w:r>
      <w:r w:rsidRPr="004664FE">
        <w:rPr>
          <w:rStyle w:val="vol"/>
          <w:rFonts w:ascii="Times New Roman" w:hAnsi="Times New Roman" w:cs="Times New Roman"/>
          <w:color w:val="1C1D1E"/>
          <w:sz w:val="24"/>
          <w:szCs w:val="24"/>
          <w:bdr w:val="none" w:sz="0" w:space="0" w:color="auto" w:frame="1"/>
          <w:shd w:val="clear" w:color="auto" w:fill="FFFFFF"/>
        </w:rPr>
        <w:t>49</w:t>
      </w:r>
      <w:r w:rsidRPr="004664FE">
        <w:rPr>
          <w:rFonts w:ascii="Times New Roman" w:hAnsi="Times New Roman" w:cs="Times New Roman"/>
          <w:color w:val="1C1D1E"/>
          <w:sz w:val="24"/>
          <w:szCs w:val="24"/>
          <w:bdr w:val="none" w:sz="0" w:space="0" w:color="auto" w:frame="1"/>
          <w:shd w:val="clear" w:color="auto" w:fill="FFFFFF"/>
        </w:rPr>
        <w:t>(</w:t>
      </w:r>
      <w:r w:rsidRPr="004664FE">
        <w:rPr>
          <w:rStyle w:val="citedissue"/>
          <w:rFonts w:ascii="Times New Roman" w:hAnsi="Times New Roman" w:cs="Times New Roman"/>
          <w:color w:val="1C1D1E"/>
          <w:sz w:val="24"/>
          <w:szCs w:val="24"/>
          <w:bdr w:val="none" w:sz="0" w:space="0" w:color="auto" w:frame="1"/>
          <w:shd w:val="clear" w:color="auto" w:fill="FFFFFF"/>
        </w:rPr>
        <w:t>4</w:t>
      </w:r>
      <w:r w:rsidRPr="004664FE">
        <w:rPr>
          <w:rFonts w:ascii="Times New Roman" w:hAnsi="Times New Roman" w:cs="Times New Roman"/>
          <w:color w:val="1C1D1E"/>
          <w:sz w:val="24"/>
          <w:szCs w:val="24"/>
          <w:bdr w:val="none" w:sz="0" w:space="0" w:color="auto" w:frame="1"/>
          <w:shd w:val="clear" w:color="auto" w:fill="FFFFFF"/>
        </w:rPr>
        <w:t>), </w:t>
      </w:r>
      <w:r w:rsidRPr="004664FE">
        <w:rPr>
          <w:rStyle w:val="pagefirst"/>
          <w:rFonts w:ascii="Times New Roman" w:hAnsi="Times New Roman" w:cs="Times New Roman"/>
          <w:color w:val="1C1D1E"/>
          <w:sz w:val="24"/>
          <w:szCs w:val="24"/>
          <w:bdr w:val="none" w:sz="0" w:space="0" w:color="auto" w:frame="1"/>
          <w:shd w:val="clear" w:color="auto" w:fill="FFFFFF"/>
        </w:rPr>
        <w:t>536</w:t>
      </w:r>
      <w:r w:rsidRPr="004664FE">
        <w:rPr>
          <w:rFonts w:ascii="Times New Roman" w:hAnsi="Times New Roman" w:cs="Times New Roman"/>
          <w:color w:val="1C1D1E"/>
          <w:sz w:val="24"/>
          <w:szCs w:val="24"/>
          <w:bdr w:val="none" w:sz="0" w:space="0" w:color="auto" w:frame="1"/>
          <w:shd w:val="clear" w:color="auto" w:fill="FFFFFF"/>
        </w:rPr>
        <w:t>– </w:t>
      </w:r>
      <w:r w:rsidRPr="004664FE">
        <w:rPr>
          <w:rStyle w:val="pagelast"/>
          <w:rFonts w:ascii="Times New Roman" w:hAnsi="Times New Roman" w:cs="Times New Roman"/>
          <w:color w:val="1C1D1E"/>
          <w:sz w:val="24"/>
          <w:szCs w:val="24"/>
          <w:bdr w:val="none" w:sz="0" w:space="0" w:color="auto" w:frame="1"/>
          <w:shd w:val="clear" w:color="auto" w:fill="FFFFFF"/>
        </w:rPr>
        <w:t>548</w:t>
      </w:r>
      <w:r w:rsidRPr="004664FE">
        <w:rPr>
          <w:rFonts w:ascii="Times New Roman" w:hAnsi="Times New Roman" w:cs="Times New Roman"/>
          <w:color w:val="1C1D1E"/>
          <w:sz w:val="24"/>
          <w:szCs w:val="24"/>
          <w:bdr w:val="none" w:sz="0" w:space="0" w:color="auto" w:frame="1"/>
          <w:shd w:val="clear" w:color="auto" w:fill="FFFFFF"/>
        </w:rPr>
        <w:t>.</w:t>
      </w:r>
    </w:p>
    <w:p w14:paraId="0A4B5950" w14:textId="5B45F466" w:rsidR="00DA0A65" w:rsidRPr="004664FE" w:rsidRDefault="008968D6" w:rsidP="00DA0A65">
      <w:pPr>
        <w:spacing w:after="120" w:line="240" w:lineRule="auto"/>
        <w:ind w:left="426" w:hanging="426"/>
        <w:jc w:val="both"/>
        <w:rPr>
          <w:rStyle w:val="Hipervnculo"/>
          <w:rFonts w:ascii="Times New Roman" w:hAnsi="Times New Roman" w:cs="Times New Roman"/>
          <w:sz w:val="24"/>
        </w:rPr>
      </w:pPr>
      <w:r w:rsidRPr="004664FE">
        <w:rPr>
          <w:rFonts w:ascii="Times New Roman" w:hAnsi="Times New Roman" w:cs="Times New Roman"/>
          <w:sz w:val="24"/>
        </w:rPr>
        <w:t xml:space="preserve">Toyota. (2017). Toyota Europe Newsroom. Toyota city, Japan, 14 February 2017. Available at: </w:t>
      </w:r>
      <w:hyperlink r:id="rId14" w:history="1">
        <w:r w:rsidRPr="004664FE">
          <w:rPr>
            <w:rStyle w:val="Hipervnculo"/>
            <w:rFonts w:ascii="Times New Roman" w:hAnsi="Times New Roman" w:cs="Times New Roman"/>
            <w:sz w:val="24"/>
          </w:rPr>
          <w:t>https://newsroom.toyota.eu/global-sales-of-toyota-hybrids-reach-10-million/</w:t>
        </w:r>
      </w:hyperlink>
    </w:p>
    <w:p w14:paraId="07ADF821" w14:textId="25BDC59F"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color w:val="222222"/>
          <w:sz w:val="24"/>
          <w:shd w:val="clear" w:color="auto" w:fill="FFFFFF"/>
        </w:rPr>
        <w:t>Tripsas, M., &amp; Gavetti, G. (2000). Capabilities, cognition, and inertia: Evidence from digital imaging. </w:t>
      </w:r>
      <w:r w:rsidRPr="004664FE">
        <w:rPr>
          <w:rFonts w:ascii="Times New Roman" w:hAnsi="Times New Roman" w:cs="Times New Roman"/>
          <w:b/>
          <w:i/>
          <w:color w:val="222222"/>
          <w:sz w:val="24"/>
          <w:shd w:val="clear" w:color="auto" w:fill="FFFFFF"/>
        </w:rPr>
        <w:t>Strategic Management Journal</w:t>
      </w:r>
      <w:r w:rsidRPr="004664FE">
        <w:rPr>
          <w:rFonts w:ascii="Times New Roman" w:hAnsi="Times New Roman" w:cs="Times New Roman"/>
          <w:color w:val="222222"/>
          <w:sz w:val="24"/>
          <w:shd w:val="clear" w:color="auto" w:fill="FFFFFF"/>
        </w:rPr>
        <w:t>, 21(10</w:t>
      </w:r>
      <w:r w:rsidRPr="004664FE">
        <w:rPr>
          <w:rFonts w:ascii="Times New Roman" w:hAnsi="Times New Roman"/>
          <w:color w:val="222222"/>
          <w:sz w:val="24"/>
          <w:shd w:val="clear" w:color="auto" w:fill="FFFFFF"/>
        </w:rPr>
        <w:t>‐</w:t>
      </w:r>
      <w:r w:rsidRPr="004664FE">
        <w:rPr>
          <w:rFonts w:ascii="Times New Roman" w:hAnsi="Times New Roman" w:cs="Times New Roman"/>
          <w:color w:val="222222"/>
          <w:sz w:val="24"/>
          <w:shd w:val="clear" w:color="auto" w:fill="FFFFFF"/>
        </w:rPr>
        <w:t>11): 1147-1161.</w:t>
      </w:r>
    </w:p>
    <w:p w14:paraId="3814C7F4" w14:textId="7C53330F"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United Nations (UN). (2016). </w:t>
      </w:r>
      <w:r w:rsidRPr="004664FE">
        <w:rPr>
          <w:rFonts w:ascii="Times New Roman" w:hAnsi="Times New Roman" w:cs="Times New Roman"/>
          <w:b/>
          <w:i/>
          <w:sz w:val="24"/>
        </w:rPr>
        <w:t>Report of the Conference of the Parties on its twenty-first session</w:t>
      </w:r>
      <w:r w:rsidRPr="004664FE">
        <w:rPr>
          <w:rFonts w:ascii="Times New Roman" w:hAnsi="Times New Roman" w:cs="Times New Roman"/>
          <w:sz w:val="24"/>
        </w:rPr>
        <w:t>, held in Paris from 30 November to 13 December 2015.</w:t>
      </w:r>
    </w:p>
    <w:p w14:paraId="1047BDCD" w14:textId="1EDABF89"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Varaiya, N., Kerin, R. A., &amp; Weeks, D. (1987). The relationship between growth, profitability, and firm value. </w:t>
      </w:r>
      <w:r w:rsidRPr="004664FE">
        <w:rPr>
          <w:rFonts w:ascii="Times New Roman" w:hAnsi="Times New Roman" w:cs="Times New Roman"/>
          <w:b/>
          <w:i/>
          <w:sz w:val="24"/>
        </w:rPr>
        <w:t>Strategic Management Journal</w:t>
      </w:r>
      <w:r w:rsidRPr="004664FE">
        <w:rPr>
          <w:rFonts w:ascii="Times New Roman" w:hAnsi="Times New Roman" w:cs="Times New Roman"/>
          <w:sz w:val="24"/>
        </w:rPr>
        <w:t>, 8(5): 487-497.</w:t>
      </w:r>
    </w:p>
    <w:p w14:paraId="2B491300" w14:textId="0BC09B0F"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Walsh, P. R. (2012). Innovation Nirvana or Innovation Wasteland? Identifying commercialization strategies for small and medium renewable energy enterprises. </w:t>
      </w:r>
      <w:r w:rsidRPr="004664FE">
        <w:rPr>
          <w:rFonts w:ascii="Times New Roman" w:hAnsi="Times New Roman" w:cs="Times New Roman"/>
          <w:b/>
          <w:i/>
          <w:sz w:val="24"/>
        </w:rPr>
        <w:t>Technovation</w:t>
      </w:r>
      <w:r w:rsidRPr="004664FE">
        <w:rPr>
          <w:rFonts w:ascii="Times New Roman" w:hAnsi="Times New Roman" w:cs="Times New Roman"/>
          <w:sz w:val="24"/>
        </w:rPr>
        <w:t>, 32(1): 32-42.</w:t>
      </w:r>
    </w:p>
    <w:p w14:paraId="2D6AC350" w14:textId="77777777" w:rsidR="00DA0A65" w:rsidRPr="004664FE" w:rsidRDefault="008968D6" w:rsidP="00DA0A65">
      <w:pPr>
        <w:spacing w:after="120" w:line="240" w:lineRule="auto"/>
        <w:ind w:left="426" w:hanging="426"/>
        <w:jc w:val="both"/>
        <w:rPr>
          <w:rFonts w:ascii="Times New Roman" w:hAnsi="Times New Roman" w:cs="Times New Roman"/>
          <w:sz w:val="24"/>
          <w:szCs w:val="24"/>
        </w:rPr>
      </w:pPr>
      <w:r w:rsidRPr="004664FE">
        <w:rPr>
          <w:rFonts w:ascii="Times New Roman" w:hAnsi="Times New Roman" w:cs="Times New Roman"/>
          <w:sz w:val="24"/>
          <w:szCs w:val="24"/>
          <w:shd w:val="clear" w:color="auto" w:fill="FFFFFF"/>
        </w:rPr>
        <w:t>Welbeck, E. E., Owusu, G. M. Y., Bekoe, R. A., &amp; Kusi, J. A. (2017). Determinants of environmental disclosures of listed firms in Ghana. </w:t>
      </w:r>
      <w:r w:rsidRPr="004664FE">
        <w:rPr>
          <w:rFonts w:ascii="Times New Roman" w:hAnsi="Times New Roman" w:cs="Times New Roman"/>
          <w:b/>
          <w:bCs/>
          <w:i/>
          <w:iCs/>
          <w:sz w:val="24"/>
          <w:szCs w:val="24"/>
          <w:shd w:val="clear" w:color="auto" w:fill="FFFFFF"/>
        </w:rPr>
        <w:t>International Journal of Corporate Social Responsibility</w:t>
      </w:r>
      <w:r w:rsidRPr="004664FE">
        <w:rPr>
          <w:rFonts w:ascii="Times New Roman" w:hAnsi="Times New Roman" w:cs="Times New Roman"/>
          <w:sz w:val="24"/>
          <w:szCs w:val="24"/>
          <w:shd w:val="clear" w:color="auto" w:fill="FFFFFF"/>
        </w:rPr>
        <w:t>, </w:t>
      </w:r>
      <w:r w:rsidRPr="004664FE">
        <w:rPr>
          <w:rFonts w:ascii="Times New Roman" w:hAnsi="Times New Roman" w:cs="Times New Roman"/>
          <w:i/>
          <w:iCs/>
          <w:sz w:val="24"/>
          <w:szCs w:val="24"/>
          <w:shd w:val="clear" w:color="auto" w:fill="FFFFFF"/>
        </w:rPr>
        <w:t>2</w:t>
      </w:r>
      <w:r w:rsidRPr="004664FE">
        <w:rPr>
          <w:rFonts w:ascii="Times New Roman" w:hAnsi="Times New Roman" w:cs="Times New Roman"/>
          <w:sz w:val="24"/>
          <w:szCs w:val="24"/>
          <w:shd w:val="clear" w:color="auto" w:fill="FFFFFF"/>
        </w:rPr>
        <w:t>(1), 11.</w:t>
      </w:r>
    </w:p>
    <w:p w14:paraId="73D3A582" w14:textId="770942BF" w:rsidR="00DA0A65" w:rsidRPr="004664FE" w:rsidRDefault="008968D6" w:rsidP="00DA0A65">
      <w:pPr>
        <w:spacing w:after="120" w:line="240" w:lineRule="auto"/>
        <w:ind w:left="426" w:hanging="426"/>
        <w:jc w:val="both"/>
        <w:rPr>
          <w:rFonts w:ascii="Times New Roman" w:hAnsi="Times New Roman"/>
          <w:sz w:val="24"/>
          <w:shd w:val="clear" w:color="auto" w:fill="FFFFFF"/>
        </w:rPr>
      </w:pPr>
      <w:r w:rsidRPr="004664FE">
        <w:rPr>
          <w:rFonts w:ascii="Times New Roman" w:hAnsi="Times New Roman" w:cs="Times New Roman"/>
          <w:sz w:val="24"/>
          <w:shd w:val="clear" w:color="auto" w:fill="FFFFFF"/>
        </w:rPr>
        <w:t>Withisuphakorn, P., &amp; Jiraporn, P. (2016). The effect of firm maturity on corporate social responsibility (CSR): do older firms invest more in CSR?. </w:t>
      </w:r>
      <w:r w:rsidRPr="004664FE">
        <w:rPr>
          <w:rFonts w:ascii="Times New Roman" w:hAnsi="Times New Roman" w:cs="Times New Roman"/>
          <w:b/>
          <w:i/>
          <w:sz w:val="24"/>
          <w:shd w:val="clear" w:color="auto" w:fill="FFFFFF"/>
        </w:rPr>
        <w:t>Applied Economics Letters</w:t>
      </w:r>
      <w:r w:rsidRPr="004664FE">
        <w:rPr>
          <w:rFonts w:ascii="Times New Roman" w:hAnsi="Times New Roman" w:cs="Times New Roman"/>
          <w:b/>
          <w:sz w:val="24"/>
          <w:shd w:val="clear" w:color="auto" w:fill="FFFFFF"/>
        </w:rPr>
        <w:t>,</w:t>
      </w:r>
      <w:r w:rsidRPr="004664FE">
        <w:rPr>
          <w:rFonts w:ascii="Times New Roman" w:hAnsi="Times New Roman" w:cs="Times New Roman"/>
          <w:sz w:val="24"/>
          <w:shd w:val="clear" w:color="auto" w:fill="FFFFFF"/>
        </w:rPr>
        <w:t> 23(4): 298-301.</w:t>
      </w:r>
    </w:p>
    <w:p w14:paraId="19815714" w14:textId="77777777" w:rsidR="00DA0A65" w:rsidRPr="004664FE" w:rsidRDefault="008968D6" w:rsidP="00DA0A65">
      <w:pPr>
        <w:spacing w:after="120" w:line="276" w:lineRule="auto"/>
        <w:ind w:left="426" w:hanging="426"/>
        <w:jc w:val="both"/>
        <w:rPr>
          <w:rFonts w:ascii="Times New Roman" w:hAnsi="Times New Roman" w:cs="Times New Roman"/>
          <w:sz w:val="24"/>
          <w:szCs w:val="24"/>
        </w:rPr>
      </w:pPr>
      <w:r w:rsidRPr="004664FE">
        <w:rPr>
          <w:rFonts w:ascii="Times New Roman" w:hAnsi="Times New Roman" w:cs="Times New Roman"/>
          <w:color w:val="222222"/>
          <w:sz w:val="24"/>
          <w:szCs w:val="24"/>
          <w:bdr w:val="none" w:sz="0" w:space="0" w:color="auto" w:frame="1"/>
          <w:shd w:val="clear" w:color="auto" w:fill="FFFFFF"/>
        </w:rPr>
        <w:t>Zahra, S. A., &amp; George, G. (2002). Absorptive capacity: A review, reconceptualization, and extension. </w:t>
      </w:r>
      <w:r w:rsidRPr="004664FE">
        <w:rPr>
          <w:rFonts w:ascii="Times New Roman" w:hAnsi="Times New Roman" w:cs="Times New Roman"/>
          <w:b/>
          <w:bCs/>
          <w:i/>
          <w:iCs/>
          <w:color w:val="222222"/>
          <w:sz w:val="24"/>
          <w:szCs w:val="24"/>
          <w:shd w:val="clear" w:color="auto" w:fill="FFFFFF"/>
        </w:rPr>
        <w:t>Academy of Management Review</w:t>
      </w:r>
      <w:r w:rsidRPr="004664FE">
        <w:rPr>
          <w:rFonts w:ascii="Times New Roman" w:hAnsi="Times New Roman" w:cs="Times New Roman"/>
          <w:color w:val="222222"/>
          <w:sz w:val="24"/>
          <w:szCs w:val="24"/>
          <w:bdr w:val="none" w:sz="0" w:space="0" w:color="auto" w:frame="1"/>
          <w:shd w:val="clear" w:color="auto" w:fill="FFFFFF"/>
        </w:rPr>
        <w:t>, </w:t>
      </w:r>
      <w:r w:rsidRPr="004664FE">
        <w:rPr>
          <w:rFonts w:ascii="Times New Roman" w:hAnsi="Times New Roman" w:cs="Times New Roman"/>
          <w:i/>
          <w:iCs/>
          <w:color w:val="222222"/>
          <w:sz w:val="24"/>
          <w:szCs w:val="24"/>
          <w:shd w:val="clear" w:color="auto" w:fill="FFFFFF"/>
        </w:rPr>
        <w:t>27</w:t>
      </w:r>
      <w:r w:rsidRPr="004664FE">
        <w:rPr>
          <w:rFonts w:ascii="Times New Roman" w:hAnsi="Times New Roman" w:cs="Times New Roman"/>
          <w:color w:val="222222"/>
          <w:sz w:val="24"/>
          <w:szCs w:val="24"/>
          <w:bdr w:val="none" w:sz="0" w:space="0" w:color="auto" w:frame="1"/>
          <w:shd w:val="clear" w:color="auto" w:fill="FFFFFF"/>
        </w:rPr>
        <w:t>(2), 185-203.</w:t>
      </w:r>
    </w:p>
    <w:p w14:paraId="11F64EA5" w14:textId="77777777" w:rsidR="00DA0A65" w:rsidRPr="004664FE" w:rsidRDefault="008968D6" w:rsidP="00DA0A65">
      <w:pPr>
        <w:spacing w:after="120" w:line="240" w:lineRule="auto"/>
        <w:ind w:left="426" w:hanging="426"/>
        <w:jc w:val="both"/>
        <w:rPr>
          <w:rFonts w:ascii="Times New Roman" w:hAnsi="Times New Roman" w:cs="Times New Roman"/>
          <w:sz w:val="24"/>
        </w:rPr>
      </w:pPr>
      <w:r w:rsidRPr="004664FE">
        <w:rPr>
          <w:rFonts w:ascii="Times New Roman" w:hAnsi="Times New Roman" w:cs="Times New Roman"/>
          <w:sz w:val="24"/>
        </w:rPr>
        <w:t xml:space="preserve">Zheng, W., Singh, K., &amp; Mitchell, W. 2015. Buffering and enabling: The impact of interlocking political ties on firm survival and sales growth. </w:t>
      </w:r>
      <w:r w:rsidRPr="004664FE">
        <w:rPr>
          <w:rFonts w:ascii="Times New Roman" w:hAnsi="Times New Roman" w:cs="Times New Roman"/>
          <w:b/>
          <w:i/>
          <w:sz w:val="24"/>
        </w:rPr>
        <w:t>Strategic Management Journal</w:t>
      </w:r>
      <w:r w:rsidRPr="004664FE">
        <w:rPr>
          <w:rFonts w:ascii="Times New Roman" w:hAnsi="Times New Roman" w:cs="Times New Roman"/>
          <w:sz w:val="24"/>
        </w:rPr>
        <w:t>, 36(11): 1615-1636.</w:t>
      </w:r>
    </w:p>
    <w:p w14:paraId="3133C225" w14:textId="77777777" w:rsidR="00DA0A65" w:rsidRPr="004664FE" w:rsidRDefault="00DA0A65" w:rsidP="005F0660">
      <w:pPr>
        <w:rPr>
          <w:rFonts w:ascii="Times New Roman" w:hAnsi="Times New Roman" w:cs="Times New Roman"/>
        </w:rPr>
      </w:pPr>
    </w:p>
    <w:bookmarkEnd w:id="25"/>
    <w:p w14:paraId="51E615AF" w14:textId="4E6DC78C" w:rsidR="00351838" w:rsidRPr="004664FE" w:rsidRDefault="00351838" w:rsidP="00CF1DBB">
      <w:pPr>
        <w:spacing w:after="0" w:line="240" w:lineRule="auto"/>
        <w:rPr>
          <w:rFonts w:ascii="Times New Roman" w:hAnsi="Times New Roman" w:cs="Times New Roman"/>
        </w:rPr>
      </w:pPr>
    </w:p>
    <w:p w14:paraId="4B816EDC" w14:textId="616A1D44" w:rsidR="002A7222" w:rsidRPr="004664FE" w:rsidRDefault="008968D6" w:rsidP="00420BE3">
      <w:pPr>
        <w:rPr>
          <w:rFonts w:ascii="Times New Roman" w:hAnsi="Times New Roman" w:cs="Times New Roman"/>
        </w:rPr>
      </w:pPr>
      <w:r w:rsidRPr="004664FE">
        <w:rPr>
          <w:rFonts w:ascii="Times New Roman" w:hAnsi="Times New Roman" w:cs="Times New Roman"/>
        </w:rPr>
        <w:br w:type="page"/>
      </w:r>
    </w:p>
    <w:p w14:paraId="46EA9F87" w14:textId="77777777" w:rsidR="00FB20A8" w:rsidRPr="004664FE" w:rsidRDefault="00FB20A8" w:rsidP="00FB20A8">
      <w:pPr>
        <w:spacing w:after="0" w:line="240" w:lineRule="auto"/>
        <w:rPr>
          <w:rFonts w:ascii="Times New Roman" w:hAnsi="Times New Roman" w:cs="Times New Roman"/>
          <w:b/>
          <w:sz w:val="24"/>
        </w:rPr>
      </w:pPr>
    </w:p>
    <w:p w14:paraId="31F6C5E6" w14:textId="77777777" w:rsidR="00FB20A8" w:rsidRPr="004664FE" w:rsidRDefault="00FB20A8" w:rsidP="00FB20A8">
      <w:pPr>
        <w:spacing w:after="0" w:line="240" w:lineRule="auto"/>
        <w:ind w:left="-567"/>
        <w:rPr>
          <w:rFonts w:ascii="Times New Roman" w:hAnsi="Times New Roman" w:cs="Times New Roman"/>
          <w:b/>
          <w:sz w:val="24"/>
        </w:rPr>
      </w:pPr>
    </w:p>
    <w:p w14:paraId="6312E9CF" w14:textId="0F8DBB9C" w:rsidR="00FB20A8" w:rsidRPr="004664FE" w:rsidRDefault="008968D6" w:rsidP="00FB20A8">
      <w:pPr>
        <w:spacing w:after="0" w:line="240" w:lineRule="auto"/>
        <w:ind w:left="-567"/>
        <w:jc w:val="center"/>
        <w:rPr>
          <w:rFonts w:ascii="Times New Roman" w:hAnsi="Times New Roman" w:cs="Times New Roman"/>
          <w:b/>
          <w:sz w:val="24"/>
          <w:szCs w:val="24"/>
        </w:rPr>
      </w:pPr>
      <w:r w:rsidRPr="004664FE">
        <w:rPr>
          <w:rFonts w:ascii="Times New Roman" w:hAnsi="Times New Roman" w:cs="Times New Roman"/>
          <w:noProof/>
        </w:rPr>
        <w:drawing>
          <wp:inline distT="0" distB="0" distL="0" distR="0" wp14:anchorId="3B14186E" wp14:editId="0CFA00EA">
            <wp:extent cx="8072048" cy="2909095"/>
            <wp:effectExtent l="0" t="9525"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679278" name="Picture 1"/>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rot="16200000">
                      <a:off x="0" y="0"/>
                      <a:ext cx="8104744" cy="2920878"/>
                    </a:xfrm>
                    <a:prstGeom prst="rect">
                      <a:avLst/>
                    </a:prstGeom>
                    <a:noFill/>
                    <a:ln>
                      <a:noFill/>
                    </a:ln>
                  </pic:spPr>
                </pic:pic>
              </a:graphicData>
            </a:graphic>
          </wp:inline>
        </w:drawing>
      </w:r>
    </w:p>
    <w:p w14:paraId="67A0A18F" w14:textId="3591912B" w:rsidR="00FB20A8" w:rsidRPr="004664FE" w:rsidRDefault="008968D6" w:rsidP="00FB20A8">
      <w:pPr>
        <w:rPr>
          <w:rFonts w:ascii="Times New Roman" w:hAnsi="Times New Roman" w:cs="Times New Roman"/>
          <w:b/>
          <w:sz w:val="24"/>
          <w:szCs w:val="24"/>
        </w:rPr>
      </w:pPr>
      <w:r w:rsidRPr="004664FE">
        <w:rPr>
          <w:rFonts w:ascii="Times New Roman" w:hAnsi="Times New Roman" w:cs="Times New Roman"/>
          <w:b/>
          <w:sz w:val="24"/>
          <w:szCs w:val="24"/>
        </w:rPr>
        <w:br w:type="page"/>
      </w:r>
    </w:p>
    <w:p w14:paraId="2FE444D5" w14:textId="63317804" w:rsidR="00CA3506" w:rsidRPr="004664FE" w:rsidRDefault="00CA3506" w:rsidP="00FB20A8">
      <w:pPr>
        <w:rPr>
          <w:rFonts w:ascii="Times New Roman" w:hAnsi="Times New Roman" w:cs="Times New Roman"/>
          <w:b/>
          <w:sz w:val="24"/>
          <w:szCs w:val="24"/>
        </w:rPr>
      </w:pPr>
    </w:p>
    <w:p w14:paraId="413B5686" w14:textId="251FB778" w:rsidR="00CA3506" w:rsidRPr="004664FE" w:rsidRDefault="008968D6" w:rsidP="00FB20A8">
      <w:pPr>
        <w:rPr>
          <w:rFonts w:ascii="Times New Roman" w:hAnsi="Times New Roman" w:cs="Times New Roman"/>
          <w:b/>
          <w:sz w:val="24"/>
          <w:szCs w:val="24"/>
        </w:rPr>
      </w:pPr>
      <w:r w:rsidRPr="004664FE">
        <w:rPr>
          <w:rFonts w:ascii="Times New Roman" w:hAnsi="Times New Roman" w:cs="Times New Roman"/>
          <w:noProof/>
        </w:rPr>
        <w:drawing>
          <wp:inline distT="0" distB="0" distL="0" distR="0" wp14:anchorId="6E01D963" wp14:editId="57FD96A3">
            <wp:extent cx="7211136" cy="5339860"/>
            <wp:effectExtent l="2222"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63708" name="Picture 7"/>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rot="16200000">
                      <a:off x="0" y="0"/>
                      <a:ext cx="7231583" cy="5355001"/>
                    </a:xfrm>
                    <a:prstGeom prst="rect">
                      <a:avLst/>
                    </a:prstGeom>
                    <a:noFill/>
                    <a:ln>
                      <a:noFill/>
                    </a:ln>
                  </pic:spPr>
                </pic:pic>
              </a:graphicData>
            </a:graphic>
          </wp:inline>
        </w:drawing>
      </w:r>
    </w:p>
    <w:p w14:paraId="1862D25A" w14:textId="5DBFF1F3" w:rsidR="00FB20A8" w:rsidRPr="004664FE" w:rsidRDefault="00FB20A8" w:rsidP="00FB20A8">
      <w:pPr>
        <w:spacing w:after="0"/>
        <w:jc w:val="center"/>
        <w:rPr>
          <w:rFonts w:ascii="Times New Roman" w:hAnsi="Times New Roman" w:cs="Times New Roman"/>
          <w:color w:val="000000"/>
        </w:rPr>
      </w:pPr>
    </w:p>
    <w:p w14:paraId="222C93A6" w14:textId="77777777" w:rsidR="00FB20A8" w:rsidRPr="004664FE" w:rsidRDefault="00FB20A8" w:rsidP="00FB20A8">
      <w:pPr>
        <w:spacing w:after="0"/>
        <w:rPr>
          <w:rFonts w:ascii="Times New Roman" w:hAnsi="Times New Roman" w:cs="Times New Roman"/>
          <w:color w:val="000000"/>
        </w:rPr>
      </w:pPr>
    </w:p>
    <w:p w14:paraId="23290FB0" w14:textId="1C733763" w:rsidR="00FB20A8" w:rsidRPr="004664FE" w:rsidRDefault="008968D6" w:rsidP="00FB20A8">
      <w:pPr>
        <w:rPr>
          <w:rFonts w:ascii="Times New Roman" w:hAnsi="Times New Roman" w:cs="Times New Roman"/>
          <w:color w:val="000000"/>
        </w:rPr>
      </w:pPr>
      <w:r w:rsidRPr="004664FE">
        <w:rPr>
          <w:rFonts w:ascii="Times New Roman" w:hAnsi="Times New Roman" w:cs="Times New Roman"/>
          <w:color w:val="000000"/>
        </w:rPr>
        <w:br w:type="page"/>
      </w:r>
    </w:p>
    <w:p w14:paraId="4CAECD93" w14:textId="17B13490" w:rsidR="00CA3506" w:rsidRPr="004664FE" w:rsidRDefault="00CA3506" w:rsidP="00FB20A8">
      <w:pPr>
        <w:rPr>
          <w:rFonts w:ascii="Times New Roman" w:hAnsi="Times New Roman" w:cs="Times New Roman"/>
          <w:color w:val="000000"/>
        </w:rPr>
      </w:pPr>
    </w:p>
    <w:p w14:paraId="043A3888" w14:textId="48976012" w:rsidR="000C72FB" w:rsidRPr="004664FE" w:rsidRDefault="000C72FB" w:rsidP="00FB20A8">
      <w:pPr>
        <w:rPr>
          <w:rFonts w:ascii="Times New Roman" w:hAnsi="Times New Roman" w:cs="Times New Roman"/>
          <w:color w:val="000000"/>
        </w:rPr>
      </w:pPr>
    </w:p>
    <w:p w14:paraId="724D61E3" w14:textId="1DB12905" w:rsidR="000C72FB" w:rsidRPr="004664FE" w:rsidRDefault="000C72FB" w:rsidP="00FB20A8">
      <w:pPr>
        <w:rPr>
          <w:rFonts w:ascii="Times New Roman" w:hAnsi="Times New Roman" w:cs="Times New Roman"/>
          <w:color w:val="000000"/>
        </w:rPr>
      </w:pPr>
    </w:p>
    <w:p w14:paraId="307F597E" w14:textId="209904DA" w:rsidR="000C72FB" w:rsidRPr="004664FE" w:rsidRDefault="000C72FB" w:rsidP="00FB20A8">
      <w:pPr>
        <w:rPr>
          <w:rFonts w:ascii="Times New Roman" w:hAnsi="Times New Roman" w:cs="Times New Roman"/>
          <w:color w:val="000000"/>
        </w:rPr>
      </w:pPr>
    </w:p>
    <w:p w14:paraId="295BDD03" w14:textId="443A904F" w:rsidR="000C72FB" w:rsidRPr="004664FE" w:rsidRDefault="000C72FB" w:rsidP="00FB20A8">
      <w:pPr>
        <w:rPr>
          <w:rFonts w:ascii="Times New Roman" w:hAnsi="Times New Roman" w:cs="Times New Roman"/>
          <w:color w:val="000000"/>
        </w:rPr>
      </w:pPr>
    </w:p>
    <w:p w14:paraId="15BF06D6" w14:textId="5C75F4F1" w:rsidR="000C72FB" w:rsidRPr="004664FE" w:rsidRDefault="000C72FB" w:rsidP="00FB20A8">
      <w:pPr>
        <w:rPr>
          <w:rFonts w:ascii="Times New Roman" w:hAnsi="Times New Roman" w:cs="Times New Roman"/>
          <w:color w:val="000000"/>
        </w:rPr>
      </w:pPr>
    </w:p>
    <w:p w14:paraId="34429A0B" w14:textId="7A1C5F53" w:rsidR="000C72FB" w:rsidRPr="004664FE" w:rsidRDefault="000C72FB" w:rsidP="00FB20A8">
      <w:pPr>
        <w:rPr>
          <w:rFonts w:ascii="Times New Roman" w:hAnsi="Times New Roman" w:cs="Times New Roman"/>
          <w:color w:val="000000"/>
        </w:rPr>
      </w:pPr>
    </w:p>
    <w:p w14:paraId="2D81F05C" w14:textId="77777777" w:rsidR="000C72FB" w:rsidRPr="004664FE" w:rsidRDefault="000C72FB" w:rsidP="00FB20A8">
      <w:pPr>
        <w:rPr>
          <w:rFonts w:ascii="Times New Roman" w:hAnsi="Times New Roman" w:cs="Times New Roman"/>
          <w:color w:val="000000"/>
        </w:rPr>
      </w:pPr>
    </w:p>
    <w:p w14:paraId="5B4F5C38" w14:textId="65F473C1" w:rsidR="00CA3506" w:rsidRPr="004664FE" w:rsidRDefault="008968D6" w:rsidP="00FB20A8">
      <w:pPr>
        <w:rPr>
          <w:rFonts w:ascii="Times New Roman" w:hAnsi="Times New Roman" w:cs="Times New Roman"/>
          <w:color w:val="000000"/>
        </w:rPr>
      </w:pPr>
      <w:r w:rsidRPr="004664FE">
        <w:rPr>
          <w:rFonts w:ascii="Times New Roman" w:hAnsi="Times New Roman"/>
          <w:noProof/>
          <w:color w:val="000000"/>
        </w:rPr>
        <w:drawing>
          <wp:inline distT="0" distB="0" distL="0" distR="0" wp14:anchorId="3688C5CE" wp14:editId="38193A77">
            <wp:extent cx="5274855" cy="4029075"/>
            <wp:effectExtent l="0" t="0" r="254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218594" name="Picture 3"/>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5290224" cy="4040814"/>
                    </a:xfrm>
                    <a:prstGeom prst="rect">
                      <a:avLst/>
                    </a:prstGeom>
                    <a:noFill/>
                    <a:ln>
                      <a:noFill/>
                    </a:ln>
                  </pic:spPr>
                </pic:pic>
              </a:graphicData>
            </a:graphic>
          </wp:inline>
        </w:drawing>
      </w:r>
    </w:p>
    <w:p w14:paraId="6670DD78" w14:textId="2074B5EE" w:rsidR="00FB20A8" w:rsidRPr="004664FE" w:rsidRDefault="00FB20A8" w:rsidP="00F7204C">
      <w:pPr>
        <w:jc w:val="center"/>
        <w:rPr>
          <w:rFonts w:ascii="Times New Roman" w:hAnsi="Times New Roman" w:cs="Times New Roman"/>
          <w:color w:val="000000"/>
        </w:rPr>
      </w:pPr>
    </w:p>
    <w:p w14:paraId="058DFB00" w14:textId="77777777" w:rsidR="00CA3506" w:rsidRPr="004664FE" w:rsidRDefault="00CA3506" w:rsidP="00CF1DBB">
      <w:pPr>
        <w:rPr>
          <w:rFonts w:ascii="Times New Roman" w:hAnsi="Times New Roman" w:cs="Times New Roman"/>
          <w:color w:val="000000"/>
        </w:rPr>
      </w:pPr>
    </w:p>
    <w:p w14:paraId="445C5C66" w14:textId="77777777" w:rsidR="00CA3506" w:rsidRPr="004664FE" w:rsidRDefault="00CA3506" w:rsidP="00CA3506">
      <w:pPr>
        <w:rPr>
          <w:rFonts w:ascii="Times New Roman" w:hAnsi="Times New Roman" w:cs="Times New Roman"/>
          <w:color w:val="000000"/>
        </w:rPr>
      </w:pPr>
    </w:p>
    <w:p w14:paraId="21B89ACE" w14:textId="6CEEC0FA" w:rsidR="000C72FB" w:rsidRPr="004664FE" w:rsidRDefault="008968D6">
      <w:pPr>
        <w:rPr>
          <w:rFonts w:ascii="Times New Roman" w:hAnsi="Times New Roman" w:cs="Times New Roman"/>
          <w:color w:val="000000"/>
        </w:rPr>
      </w:pPr>
      <w:r w:rsidRPr="004664FE">
        <w:rPr>
          <w:rFonts w:ascii="Times New Roman" w:hAnsi="Times New Roman" w:cs="Times New Roman"/>
          <w:color w:val="000000"/>
        </w:rPr>
        <w:br w:type="page"/>
      </w:r>
    </w:p>
    <w:p w14:paraId="33EBD173" w14:textId="77777777" w:rsidR="000C72FB" w:rsidRPr="004664FE" w:rsidRDefault="000C72FB" w:rsidP="00CA3506">
      <w:pPr>
        <w:rPr>
          <w:rFonts w:ascii="Times New Roman" w:hAnsi="Times New Roman" w:cs="Times New Roman"/>
          <w:color w:val="000000"/>
        </w:rPr>
        <w:sectPr w:rsidR="000C72FB" w:rsidRPr="004664FE" w:rsidSect="00F136CC">
          <w:footerReference w:type="default" r:id="rId18"/>
          <w:pgSz w:w="11906" w:h="16838"/>
          <w:pgMar w:top="1418" w:right="1418" w:bottom="1418" w:left="1418" w:header="709" w:footer="510" w:gutter="0"/>
          <w:cols w:space="708"/>
          <w:docGrid w:linePitch="360"/>
        </w:sectPr>
      </w:pPr>
    </w:p>
    <w:p w14:paraId="1E6E2292" w14:textId="1D85DFEA" w:rsidR="00CA3506" w:rsidRPr="004664FE" w:rsidRDefault="00CA3506" w:rsidP="00CA3506">
      <w:pPr>
        <w:rPr>
          <w:rFonts w:ascii="Times New Roman" w:hAnsi="Times New Roman" w:cs="Times New Roman"/>
          <w:color w:val="000000"/>
        </w:rPr>
      </w:pPr>
    </w:p>
    <w:p w14:paraId="03310F61" w14:textId="0C27BB8E" w:rsidR="00CA3506" w:rsidRPr="004664FE" w:rsidRDefault="00CA3506" w:rsidP="00CA3506">
      <w:pPr>
        <w:rPr>
          <w:rFonts w:ascii="Times New Roman" w:hAnsi="Times New Roman" w:cs="Times New Roman"/>
          <w:color w:val="000000"/>
        </w:rPr>
      </w:pPr>
    </w:p>
    <w:p w14:paraId="6B52FCB8" w14:textId="769C0211" w:rsidR="00CA3506" w:rsidRPr="004664FE" w:rsidRDefault="00CA3506" w:rsidP="000C72FB">
      <w:pPr>
        <w:jc w:val="center"/>
        <w:rPr>
          <w:rFonts w:ascii="Times New Roman" w:hAnsi="Times New Roman" w:cs="Times New Roman"/>
          <w:color w:val="000000"/>
        </w:rPr>
      </w:pPr>
    </w:p>
    <w:p w14:paraId="0C047838" w14:textId="28B2B987" w:rsidR="00611B50" w:rsidRPr="002C480E" w:rsidRDefault="005558D1" w:rsidP="00F7204C">
      <w:pPr>
        <w:jc w:val="center"/>
        <w:rPr>
          <w:rFonts w:ascii="Times New Roman" w:hAnsi="Times New Roman" w:cs="Times New Roman"/>
          <w:color w:val="000000"/>
        </w:rPr>
      </w:pPr>
      <w:r w:rsidRPr="004664FE">
        <w:rPr>
          <w:rFonts w:ascii="Times New Roman" w:hAnsi="Times New Roman"/>
          <w:b/>
          <w:bCs/>
          <w:noProof/>
          <w:color w:val="000000"/>
        </w:rPr>
        <w:drawing>
          <wp:inline distT="0" distB="0" distL="0" distR="0" wp14:anchorId="6B842B02" wp14:editId="4872EA0E">
            <wp:extent cx="6278677" cy="3634740"/>
            <wp:effectExtent l="0" t="0" r="8255" b="381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94267" cy="3643765"/>
                    </a:xfrm>
                    <a:prstGeom prst="rect">
                      <a:avLst/>
                    </a:prstGeom>
                    <a:noFill/>
                    <a:ln>
                      <a:noFill/>
                    </a:ln>
                  </pic:spPr>
                </pic:pic>
              </a:graphicData>
            </a:graphic>
          </wp:inline>
        </w:drawing>
      </w:r>
    </w:p>
    <w:sectPr w:rsidR="00611B50" w:rsidRPr="002C480E" w:rsidSect="005F0660">
      <w:pgSz w:w="16838" w:h="11906" w:orient="landscape"/>
      <w:pgMar w:top="1418" w:right="1418" w:bottom="1418" w:left="1418" w:header="709"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74F238" w14:textId="77777777" w:rsidR="0066257F" w:rsidRDefault="0066257F">
      <w:pPr>
        <w:spacing w:after="0" w:line="240" w:lineRule="auto"/>
      </w:pPr>
      <w:r>
        <w:separator/>
      </w:r>
    </w:p>
  </w:endnote>
  <w:endnote w:type="continuationSeparator" w:id="0">
    <w:p w14:paraId="65EC2DBE" w14:textId="77777777" w:rsidR="0066257F" w:rsidRDefault="0066257F">
      <w:pPr>
        <w:spacing w:after="0" w:line="240" w:lineRule="auto"/>
      </w:pPr>
      <w:r>
        <w:continuationSeparator/>
      </w:r>
    </w:p>
  </w:endnote>
  <w:endnote w:type="continuationNotice" w:id="1">
    <w:p w14:paraId="12444C1D" w14:textId="77777777" w:rsidR="0066257F" w:rsidRDefault="0066257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3357885"/>
      <w:docPartObj>
        <w:docPartGallery w:val="Page Numbers (Bottom of Page)"/>
        <w:docPartUnique/>
      </w:docPartObj>
    </w:sdtPr>
    <w:sdtEndPr/>
    <w:sdtContent>
      <w:p w14:paraId="3A7B2F17" w14:textId="7D0CAA18" w:rsidR="002E6DDD" w:rsidRPr="003B1270" w:rsidRDefault="008968D6">
        <w:pPr>
          <w:pStyle w:val="Piedepgina"/>
          <w:jc w:val="right"/>
        </w:pPr>
        <w:r w:rsidRPr="003B1270">
          <w:fldChar w:fldCharType="begin"/>
        </w:r>
        <w:r w:rsidRPr="003B1270">
          <w:instrText>PAGE   \* MERGEFORMAT</w:instrText>
        </w:r>
        <w:r w:rsidRPr="003B1270">
          <w:fldChar w:fldCharType="separate"/>
        </w:r>
        <w:r>
          <w:rPr>
            <w:noProof/>
          </w:rPr>
          <w:t>22</w:t>
        </w:r>
        <w:r w:rsidRPr="003B1270">
          <w:fldChar w:fldCharType="end"/>
        </w:r>
      </w:p>
    </w:sdtContent>
  </w:sdt>
  <w:p w14:paraId="19BEACE2" w14:textId="77777777" w:rsidR="002E6DDD" w:rsidRPr="003B1270" w:rsidRDefault="002E6DD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D15589" w14:textId="77777777" w:rsidR="0066257F" w:rsidRPr="003B1270" w:rsidRDefault="0066257F">
      <w:pPr>
        <w:spacing w:after="0" w:line="240" w:lineRule="auto"/>
      </w:pPr>
      <w:r w:rsidRPr="003B1270">
        <w:separator/>
      </w:r>
    </w:p>
  </w:footnote>
  <w:footnote w:type="continuationSeparator" w:id="0">
    <w:p w14:paraId="47488686" w14:textId="77777777" w:rsidR="0066257F" w:rsidRPr="003B1270" w:rsidRDefault="0066257F">
      <w:pPr>
        <w:spacing w:after="0" w:line="240" w:lineRule="auto"/>
      </w:pPr>
      <w:r w:rsidRPr="003B1270">
        <w:continuationSeparator/>
      </w:r>
    </w:p>
  </w:footnote>
  <w:footnote w:type="continuationNotice" w:id="1">
    <w:p w14:paraId="572D81C5" w14:textId="77777777" w:rsidR="0066257F" w:rsidRDefault="0066257F">
      <w:pPr>
        <w:spacing w:after="0" w:line="240" w:lineRule="auto"/>
      </w:pPr>
    </w:p>
  </w:footnote>
  <w:footnote w:id="2">
    <w:p w14:paraId="469BF6AC" w14:textId="65C1073C" w:rsidR="002E6DDD" w:rsidRPr="00F20ED4" w:rsidRDefault="008968D6" w:rsidP="00353F95">
      <w:pPr>
        <w:pStyle w:val="Textonotapie"/>
        <w:jc w:val="both"/>
        <w:rPr>
          <w:rFonts w:ascii="Times New Roman" w:hAnsi="Times New Roman" w:cs="Times New Roman"/>
        </w:rPr>
      </w:pPr>
      <w:r w:rsidRPr="00C35D92">
        <w:rPr>
          <w:rStyle w:val="Refdenotaalpie"/>
          <w:rFonts w:ascii="Times New Roman" w:hAnsi="Times New Roman" w:cs="Times New Roman"/>
        </w:rPr>
        <w:footnoteRef/>
      </w:r>
      <w:r w:rsidRPr="00C35D92">
        <w:rPr>
          <w:rFonts w:ascii="Times New Roman" w:hAnsi="Times New Roman" w:cs="Times New Roman"/>
        </w:rPr>
        <w:t xml:space="preserve"> It is important to note that our analysis is based on granted patents, which is a process that tends to take several years (Belderbos, Faems, Leten, &amp; Looy, 2010). Hence, all the years of our analysis are after the “.com” bubble burst and before the real-state crisis.</w:t>
      </w:r>
    </w:p>
  </w:footnote>
  <w:footnote w:id="3">
    <w:p w14:paraId="5EB97E45" w14:textId="4E3B4086" w:rsidR="002E6DDD" w:rsidRPr="00F729F3" w:rsidRDefault="008968D6" w:rsidP="00F729F3">
      <w:pPr>
        <w:pStyle w:val="Textonotapie"/>
        <w:jc w:val="both"/>
        <w:rPr>
          <w:rFonts w:ascii="Times New Roman" w:hAnsi="Times New Roman" w:cs="Times New Roman"/>
        </w:rPr>
      </w:pPr>
      <w:r w:rsidRPr="00C35D92">
        <w:rPr>
          <w:rStyle w:val="Refdenotaalpie"/>
          <w:rFonts w:ascii="Times New Roman" w:hAnsi="Times New Roman" w:cs="Times New Roman"/>
        </w:rPr>
        <w:footnoteRef/>
      </w:r>
      <w:r w:rsidRPr="009147C1">
        <w:rPr>
          <w:rFonts w:ascii="Times New Roman" w:hAnsi="Times New Roman" w:cs="Times New Roman"/>
        </w:rPr>
        <w:t xml:space="preserve"> It is important to note that figures are plotted here for easy interpretation of the hypothesized relations between firm’s environmental innovation, firm performance, and firm age, which are precisely described in Table 2 (regression analysis). In this regard, Figure 2 graphs low and high levels of both environmental innovation and firm age, which have been calculated as the mean +/- the standard deviation of each variable (Dawson, 2014).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C3488A"/>
    <w:multiLevelType w:val="multilevel"/>
    <w:tmpl w:val="20FE0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D2F6A6E"/>
    <w:multiLevelType w:val="hybridMultilevel"/>
    <w:tmpl w:val="56E284F0"/>
    <w:lvl w:ilvl="0" w:tplc="24FC47E4">
      <w:start w:val="1"/>
      <w:numFmt w:val="decimal"/>
      <w:lvlText w:val="%1."/>
      <w:lvlJc w:val="left"/>
      <w:pPr>
        <w:ind w:left="720" w:hanging="360"/>
      </w:pPr>
      <w:rPr>
        <w:rFonts w:hint="default"/>
      </w:rPr>
    </w:lvl>
    <w:lvl w:ilvl="1" w:tplc="7D0A6154" w:tentative="1">
      <w:start w:val="1"/>
      <w:numFmt w:val="lowerLetter"/>
      <w:lvlText w:val="%2."/>
      <w:lvlJc w:val="left"/>
      <w:pPr>
        <w:ind w:left="1440" w:hanging="360"/>
      </w:pPr>
    </w:lvl>
    <w:lvl w:ilvl="2" w:tplc="6FC09FE0" w:tentative="1">
      <w:start w:val="1"/>
      <w:numFmt w:val="lowerRoman"/>
      <w:lvlText w:val="%3."/>
      <w:lvlJc w:val="right"/>
      <w:pPr>
        <w:ind w:left="2160" w:hanging="180"/>
      </w:pPr>
    </w:lvl>
    <w:lvl w:ilvl="3" w:tplc="DF1E1AAE" w:tentative="1">
      <w:start w:val="1"/>
      <w:numFmt w:val="decimal"/>
      <w:lvlText w:val="%4."/>
      <w:lvlJc w:val="left"/>
      <w:pPr>
        <w:ind w:left="2880" w:hanging="360"/>
      </w:pPr>
    </w:lvl>
    <w:lvl w:ilvl="4" w:tplc="04F0CA5A" w:tentative="1">
      <w:start w:val="1"/>
      <w:numFmt w:val="lowerLetter"/>
      <w:lvlText w:val="%5."/>
      <w:lvlJc w:val="left"/>
      <w:pPr>
        <w:ind w:left="3600" w:hanging="360"/>
      </w:pPr>
    </w:lvl>
    <w:lvl w:ilvl="5" w:tplc="80E69EC8" w:tentative="1">
      <w:start w:val="1"/>
      <w:numFmt w:val="lowerRoman"/>
      <w:lvlText w:val="%6."/>
      <w:lvlJc w:val="right"/>
      <w:pPr>
        <w:ind w:left="4320" w:hanging="180"/>
      </w:pPr>
    </w:lvl>
    <w:lvl w:ilvl="6" w:tplc="D2F227E0" w:tentative="1">
      <w:start w:val="1"/>
      <w:numFmt w:val="decimal"/>
      <w:lvlText w:val="%7."/>
      <w:lvlJc w:val="left"/>
      <w:pPr>
        <w:ind w:left="5040" w:hanging="360"/>
      </w:pPr>
    </w:lvl>
    <w:lvl w:ilvl="7" w:tplc="1E1C5E52" w:tentative="1">
      <w:start w:val="1"/>
      <w:numFmt w:val="lowerLetter"/>
      <w:lvlText w:val="%8."/>
      <w:lvlJc w:val="left"/>
      <w:pPr>
        <w:ind w:left="5760" w:hanging="360"/>
      </w:pPr>
    </w:lvl>
    <w:lvl w:ilvl="8" w:tplc="C7DE44A4" w:tentative="1">
      <w:start w:val="1"/>
      <w:numFmt w:val="lowerRoman"/>
      <w:lvlText w:val="%9."/>
      <w:lvlJc w:val="right"/>
      <w:pPr>
        <w:ind w:left="6480" w:hanging="180"/>
      </w:pPr>
    </w:lvl>
  </w:abstractNum>
  <w:abstractNum w:abstractNumId="2" w15:restartNumberingAfterBreak="0">
    <w:nsid w:val="7F692FF0"/>
    <w:multiLevelType w:val="hybridMultilevel"/>
    <w:tmpl w:val="AB042418"/>
    <w:lvl w:ilvl="0" w:tplc="1BDC1B5A">
      <w:start w:val="1"/>
      <w:numFmt w:val="bullet"/>
      <w:lvlText w:val=""/>
      <w:lvlJc w:val="left"/>
      <w:pPr>
        <w:ind w:left="720" w:hanging="360"/>
      </w:pPr>
      <w:rPr>
        <w:rFonts w:ascii="Wingdings" w:hAnsi="Wingdings" w:hint="default"/>
      </w:rPr>
    </w:lvl>
    <w:lvl w:ilvl="1" w:tplc="9AE6EB2A" w:tentative="1">
      <w:start w:val="1"/>
      <w:numFmt w:val="bullet"/>
      <w:lvlText w:val="o"/>
      <w:lvlJc w:val="left"/>
      <w:pPr>
        <w:ind w:left="1440" w:hanging="360"/>
      </w:pPr>
      <w:rPr>
        <w:rFonts w:ascii="Courier New" w:hAnsi="Courier New" w:cs="Courier New" w:hint="default"/>
      </w:rPr>
    </w:lvl>
    <w:lvl w:ilvl="2" w:tplc="39D4F1BC" w:tentative="1">
      <w:start w:val="1"/>
      <w:numFmt w:val="bullet"/>
      <w:lvlText w:val=""/>
      <w:lvlJc w:val="left"/>
      <w:pPr>
        <w:ind w:left="2160" w:hanging="360"/>
      </w:pPr>
      <w:rPr>
        <w:rFonts w:ascii="Wingdings" w:hAnsi="Wingdings" w:hint="default"/>
      </w:rPr>
    </w:lvl>
    <w:lvl w:ilvl="3" w:tplc="6F0C8400" w:tentative="1">
      <w:start w:val="1"/>
      <w:numFmt w:val="bullet"/>
      <w:lvlText w:val=""/>
      <w:lvlJc w:val="left"/>
      <w:pPr>
        <w:ind w:left="2880" w:hanging="360"/>
      </w:pPr>
      <w:rPr>
        <w:rFonts w:ascii="Symbol" w:hAnsi="Symbol" w:hint="default"/>
      </w:rPr>
    </w:lvl>
    <w:lvl w:ilvl="4" w:tplc="5C46578A" w:tentative="1">
      <w:start w:val="1"/>
      <w:numFmt w:val="bullet"/>
      <w:lvlText w:val="o"/>
      <w:lvlJc w:val="left"/>
      <w:pPr>
        <w:ind w:left="3600" w:hanging="360"/>
      </w:pPr>
      <w:rPr>
        <w:rFonts w:ascii="Courier New" w:hAnsi="Courier New" w:cs="Courier New" w:hint="default"/>
      </w:rPr>
    </w:lvl>
    <w:lvl w:ilvl="5" w:tplc="B0043AAE" w:tentative="1">
      <w:start w:val="1"/>
      <w:numFmt w:val="bullet"/>
      <w:lvlText w:val=""/>
      <w:lvlJc w:val="left"/>
      <w:pPr>
        <w:ind w:left="4320" w:hanging="360"/>
      </w:pPr>
      <w:rPr>
        <w:rFonts w:ascii="Wingdings" w:hAnsi="Wingdings" w:hint="default"/>
      </w:rPr>
    </w:lvl>
    <w:lvl w:ilvl="6" w:tplc="AFF281D4" w:tentative="1">
      <w:start w:val="1"/>
      <w:numFmt w:val="bullet"/>
      <w:lvlText w:val=""/>
      <w:lvlJc w:val="left"/>
      <w:pPr>
        <w:ind w:left="5040" w:hanging="360"/>
      </w:pPr>
      <w:rPr>
        <w:rFonts w:ascii="Symbol" w:hAnsi="Symbol" w:hint="default"/>
      </w:rPr>
    </w:lvl>
    <w:lvl w:ilvl="7" w:tplc="43BCD502" w:tentative="1">
      <w:start w:val="1"/>
      <w:numFmt w:val="bullet"/>
      <w:lvlText w:val="o"/>
      <w:lvlJc w:val="left"/>
      <w:pPr>
        <w:ind w:left="5760" w:hanging="360"/>
      </w:pPr>
      <w:rPr>
        <w:rFonts w:ascii="Courier New" w:hAnsi="Courier New" w:cs="Courier New" w:hint="default"/>
      </w:rPr>
    </w:lvl>
    <w:lvl w:ilvl="8" w:tplc="461E5B54"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MachineID" w:val="200|203|197|188|201|197|204|189|197|188|204|197|202|186|197|187|185|"/>
    <w:docVar w:name="Username" w:val="Quality Control Editor"/>
  </w:docVars>
  <w:rsids>
    <w:rsidRoot w:val="00E33BAC"/>
    <w:rsid w:val="00000019"/>
    <w:rsid w:val="00001088"/>
    <w:rsid w:val="000014B7"/>
    <w:rsid w:val="00001E59"/>
    <w:rsid w:val="00002DE6"/>
    <w:rsid w:val="00003057"/>
    <w:rsid w:val="000030FD"/>
    <w:rsid w:val="00003123"/>
    <w:rsid w:val="00003D86"/>
    <w:rsid w:val="00003E0B"/>
    <w:rsid w:val="0000409A"/>
    <w:rsid w:val="000045DC"/>
    <w:rsid w:val="0000471F"/>
    <w:rsid w:val="000047B8"/>
    <w:rsid w:val="00004CAA"/>
    <w:rsid w:val="000056D0"/>
    <w:rsid w:val="00006434"/>
    <w:rsid w:val="0000706B"/>
    <w:rsid w:val="00010040"/>
    <w:rsid w:val="0001039A"/>
    <w:rsid w:val="00010B42"/>
    <w:rsid w:val="0001101A"/>
    <w:rsid w:val="00011060"/>
    <w:rsid w:val="00013092"/>
    <w:rsid w:val="000130A2"/>
    <w:rsid w:val="00013700"/>
    <w:rsid w:val="00013942"/>
    <w:rsid w:val="000161B1"/>
    <w:rsid w:val="000161F9"/>
    <w:rsid w:val="000166DD"/>
    <w:rsid w:val="000168AC"/>
    <w:rsid w:val="000174D6"/>
    <w:rsid w:val="00017984"/>
    <w:rsid w:val="000200FA"/>
    <w:rsid w:val="00020296"/>
    <w:rsid w:val="000206EB"/>
    <w:rsid w:val="00020A17"/>
    <w:rsid w:val="00021369"/>
    <w:rsid w:val="000221F2"/>
    <w:rsid w:val="00022BC7"/>
    <w:rsid w:val="000233EC"/>
    <w:rsid w:val="00023F50"/>
    <w:rsid w:val="000244C1"/>
    <w:rsid w:val="00024C20"/>
    <w:rsid w:val="00024C98"/>
    <w:rsid w:val="00024E38"/>
    <w:rsid w:val="00025381"/>
    <w:rsid w:val="00025560"/>
    <w:rsid w:val="00025F03"/>
    <w:rsid w:val="00026E9A"/>
    <w:rsid w:val="00026F92"/>
    <w:rsid w:val="00027111"/>
    <w:rsid w:val="00027168"/>
    <w:rsid w:val="000275C4"/>
    <w:rsid w:val="000278F6"/>
    <w:rsid w:val="00027DC6"/>
    <w:rsid w:val="0003011E"/>
    <w:rsid w:val="000302D9"/>
    <w:rsid w:val="00031B68"/>
    <w:rsid w:val="00031F7F"/>
    <w:rsid w:val="00032837"/>
    <w:rsid w:val="00032842"/>
    <w:rsid w:val="00032F9A"/>
    <w:rsid w:val="0003468F"/>
    <w:rsid w:val="00034BBF"/>
    <w:rsid w:val="00034BE7"/>
    <w:rsid w:val="00034C31"/>
    <w:rsid w:val="00034E1E"/>
    <w:rsid w:val="00035002"/>
    <w:rsid w:val="000356B9"/>
    <w:rsid w:val="00035774"/>
    <w:rsid w:val="00035FEF"/>
    <w:rsid w:val="00036003"/>
    <w:rsid w:val="0003607C"/>
    <w:rsid w:val="0003643A"/>
    <w:rsid w:val="00036823"/>
    <w:rsid w:val="00036958"/>
    <w:rsid w:val="000373E4"/>
    <w:rsid w:val="00037E6B"/>
    <w:rsid w:val="0004002C"/>
    <w:rsid w:val="000407D9"/>
    <w:rsid w:val="00041216"/>
    <w:rsid w:val="0004191D"/>
    <w:rsid w:val="000424F7"/>
    <w:rsid w:val="000427FB"/>
    <w:rsid w:val="00042A4A"/>
    <w:rsid w:val="00043544"/>
    <w:rsid w:val="00043897"/>
    <w:rsid w:val="00043A96"/>
    <w:rsid w:val="00043B5C"/>
    <w:rsid w:val="00044723"/>
    <w:rsid w:val="00044D27"/>
    <w:rsid w:val="000451B8"/>
    <w:rsid w:val="0004583C"/>
    <w:rsid w:val="000458BE"/>
    <w:rsid w:val="00045A99"/>
    <w:rsid w:val="00045E90"/>
    <w:rsid w:val="00046DFA"/>
    <w:rsid w:val="00047164"/>
    <w:rsid w:val="000501AC"/>
    <w:rsid w:val="00050D5B"/>
    <w:rsid w:val="00051160"/>
    <w:rsid w:val="0005148B"/>
    <w:rsid w:val="0005197F"/>
    <w:rsid w:val="00051DD0"/>
    <w:rsid w:val="00051EB6"/>
    <w:rsid w:val="00051F4D"/>
    <w:rsid w:val="00052257"/>
    <w:rsid w:val="000522C5"/>
    <w:rsid w:val="00052311"/>
    <w:rsid w:val="00052708"/>
    <w:rsid w:val="0005369B"/>
    <w:rsid w:val="00053C20"/>
    <w:rsid w:val="00054181"/>
    <w:rsid w:val="00054C41"/>
    <w:rsid w:val="00054D86"/>
    <w:rsid w:val="00055616"/>
    <w:rsid w:val="000556B0"/>
    <w:rsid w:val="000557A0"/>
    <w:rsid w:val="0005693E"/>
    <w:rsid w:val="00056C01"/>
    <w:rsid w:val="00057114"/>
    <w:rsid w:val="000576B6"/>
    <w:rsid w:val="00057789"/>
    <w:rsid w:val="00057A5C"/>
    <w:rsid w:val="00057E19"/>
    <w:rsid w:val="00060202"/>
    <w:rsid w:val="000602EE"/>
    <w:rsid w:val="00060939"/>
    <w:rsid w:val="00060CAB"/>
    <w:rsid w:val="00060FE5"/>
    <w:rsid w:val="000614B3"/>
    <w:rsid w:val="00061A39"/>
    <w:rsid w:val="00061D35"/>
    <w:rsid w:val="00061E8A"/>
    <w:rsid w:val="00063BF7"/>
    <w:rsid w:val="000642DD"/>
    <w:rsid w:val="000649D9"/>
    <w:rsid w:val="000650BA"/>
    <w:rsid w:val="00065654"/>
    <w:rsid w:val="00065DE3"/>
    <w:rsid w:val="00065FA1"/>
    <w:rsid w:val="00066ACD"/>
    <w:rsid w:val="00066E60"/>
    <w:rsid w:val="0006703F"/>
    <w:rsid w:val="000672EF"/>
    <w:rsid w:val="0006745A"/>
    <w:rsid w:val="0006777C"/>
    <w:rsid w:val="00067B81"/>
    <w:rsid w:val="00067E42"/>
    <w:rsid w:val="00070013"/>
    <w:rsid w:val="00070A30"/>
    <w:rsid w:val="00070FE0"/>
    <w:rsid w:val="00071420"/>
    <w:rsid w:val="000718C8"/>
    <w:rsid w:val="00071B66"/>
    <w:rsid w:val="00071D7F"/>
    <w:rsid w:val="0007211C"/>
    <w:rsid w:val="000731C3"/>
    <w:rsid w:val="0007362C"/>
    <w:rsid w:val="00073DD2"/>
    <w:rsid w:val="00073F42"/>
    <w:rsid w:val="000740FE"/>
    <w:rsid w:val="00074589"/>
    <w:rsid w:val="0007533C"/>
    <w:rsid w:val="00075376"/>
    <w:rsid w:val="00075CC7"/>
    <w:rsid w:val="00075DA4"/>
    <w:rsid w:val="000761ED"/>
    <w:rsid w:val="00076F8D"/>
    <w:rsid w:val="000771B5"/>
    <w:rsid w:val="00077692"/>
    <w:rsid w:val="00077EF9"/>
    <w:rsid w:val="000804F6"/>
    <w:rsid w:val="00080DEF"/>
    <w:rsid w:val="00081DD0"/>
    <w:rsid w:val="00081EE4"/>
    <w:rsid w:val="0008254C"/>
    <w:rsid w:val="0008280D"/>
    <w:rsid w:val="00082C34"/>
    <w:rsid w:val="000833C3"/>
    <w:rsid w:val="00083907"/>
    <w:rsid w:val="000839BC"/>
    <w:rsid w:val="0008443D"/>
    <w:rsid w:val="0008474A"/>
    <w:rsid w:val="00084AC0"/>
    <w:rsid w:val="00085188"/>
    <w:rsid w:val="000856FA"/>
    <w:rsid w:val="000858A5"/>
    <w:rsid w:val="00085911"/>
    <w:rsid w:val="00085BDC"/>
    <w:rsid w:val="00085EFC"/>
    <w:rsid w:val="000866E6"/>
    <w:rsid w:val="0008678C"/>
    <w:rsid w:val="00086D1A"/>
    <w:rsid w:val="00087344"/>
    <w:rsid w:val="00087754"/>
    <w:rsid w:val="000900D0"/>
    <w:rsid w:val="0009013A"/>
    <w:rsid w:val="000905A7"/>
    <w:rsid w:val="00090831"/>
    <w:rsid w:val="000908D5"/>
    <w:rsid w:val="00090C81"/>
    <w:rsid w:val="00090CC3"/>
    <w:rsid w:val="000912B2"/>
    <w:rsid w:val="0009338C"/>
    <w:rsid w:val="00093BCF"/>
    <w:rsid w:val="0009572F"/>
    <w:rsid w:val="00095918"/>
    <w:rsid w:val="00096966"/>
    <w:rsid w:val="000969A8"/>
    <w:rsid w:val="000A1A50"/>
    <w:rsid w:val="000A1D49"/>
    <w:rsid w:val="000A1E06"/>
    <w:rsid w:val="000A1E1D"/>
    <w:rsid w:val="000A20A3"/>
    <w:rsid w:val="000A23C8"/>
    <w:rsid w:val="000A2BBC"/>
    <w:rsid w:val="000A2D6B"/>
    <w:rsid w:val="000A3A24"/>
    <w:rsid w:val="000A3C0A"/>
    <w:rsid w:val="000A40DF"/>
    <w:rsid w:val="000A4E01"/>
    <w:rsid w:val="000A517E"/>
    <w:rsid w:val="000A617C"/>
    <w:rsid w:val="000A628F"/>
    <w:rsid w:val="000A675D"/>
    <w:rsid w:val="000A677D"/>
    <w:rsid w:val="000A6D93"/>
    <w:rsid w:val="000A72A5"/>
    <w:rsid w:val="000A7927"/>
    <w:rsid w:val="000B01FA"/>
    <w:rsid w:val="000B0276"/>
    <w:rsid w:val="000B0B40"/>
    <w:rsid w:val="000B0C39"/>
    <w:rsid w:val="000B2051"/>
    <w:rsid w:val="000B22F5"/>
    <w:rsid w:val="000B239B"/>
    <w:rsid w:val="000B295A"/>
    <w:rsid w:val="000B2F0F"/>
    <w:rsid w:val="000B2F74"/>
    <w:rsid w:val="000B3A82"/>
    <w:rsid w:val="000B3B61"/>
    <w:rsid w:val="000B3D07"/>
    <w:rsid w:val="000B3D48"/>
    <w:rsid w:val="000B3F56"/>
    <w:rsid w:val="000B3FCE"/>
    <w:rsid w:val="000B49F8"/>
    <w:rsid w:val="000B4B0A"/>
    <w:rsid w:val="000B4E80"/>
    <w:rsid w:val="000B4ED6"/>
    <w:rsid w:val="000B5280"/>
    <w:rsid w:val="000B5960"/>
    <w:rsid w:val="000B598D"/>
    <w:rsid w:val="000B5C79"/>
    <w:rsid w:val="000B63C3"/>
    <w:rsid w:val="000B6481"/>
    <w:rsid w:val="000B6833"/>
    <w:rsid w:val="000B6A7B"/>
    <w:rsid w:val="000B7113"/>
    <w:rsid w:val="000B7B3D"/>
    <w:rsid w:val="000B7F83"/>
    <w:rsid w:val="000C00C8"/>
    <w:rsid w:val="000C0175"/>
    <w:rsid w:val="000C0304"/>
    <w:rsid w:val="000C09F1"/>
    <w:rsid w:val="000C0CF3"/>
    <w:rsid w:val="000C0D5B"/>
    <w:rsid w:val="000C0F00"/>
    <w:rsid w:val="000C15E8"/>
    <w:rsid w:val="000C1902"/>
    <w:rsid w:val="000C1A1A"/>
    <w:rsid w:val="000C21AB"/>
    <w:rsid w:val="000C257D"/>
    <w:rsid w:val="000C2CC1"/>
    <w:rsid w:val="000C2ED2"/>
    <w:rsid w:val="000C305B"/>
    <w:rsid w:val="000C3384"/>
    <w:rsid w:val="000C38D4"/>
    <w:rsid w:val="000C3A9C"/>
    <w:rsid w:val="000C3EC0"/>
    <w:rsid w:val="000C458C"/>
    <w:rsid w:val="000C671E"/>
    <w:rsid w:val="000C72FB"/>
    <w:rsid w:val="000C76A4"/>
    <w:rsid w:val="000C77BF"/>
    <w:rsid w:val="000C7859"/>
    <w:rsid w:val="000C7D28"/>
    <w:rsid w:val="000D0775"/>
    <w:rsid w:val="000D091A"/>
    <w:rsid w:val="000D0F88"/>
    <w:rsid w:val="000D114E"/>
    <w:rsid w:val="000D12EB"/>
    <w:rsid w:val="000D16A7"/>
    <w:rsid w:val="000D1A57"/>
    <w:rsid w:val="000D21D4"/>
    <w:rsid w:val="000D222D"/>
    <w:rsid w:val="000D24DC"/>
    <w:rsid w:val="000D27CE"/>
    <w:rsid w:val="000D2810"/>
    <w:rsid w:val="000D28AE"/>
    <w:rsid w:val="000D2CCB"/>
    <w:rsid w:val="000D3E57"/>
    <w:rsid w:val="000D474C"/>
    <w:rsid w:val="000D4E06"/>
    <w:rsid w:val="000D5AFE"/>
    <w:rsid w:val="000D6823"/>
    <w:rsid w:val="000D6EBA"/>
    <w:rsid w:val="000D78C7"/>
    <w:rsid w:val="000D7CF8"/>
    <w:rsid w:val="000E04F1"/>
    <w:rsid w:val="000E0596"/>
    <w:rsid w:val="000E0D75"/>
    <w:rsid w:val="000E1AC2"/>
    <w:rsid w:val="000E1CA9"/>
    <w:rsid w:val="000E2361"/>
    <w:rsid w:val="000E25B4"/>
    <w:rsid w:val="000E29F9"/>
    <w:rsid w:val="000E384A"/>
    <w:rsid w:val="000E3A97"/>
    <w:rsid w:val="000E40EB"/>
    <w:rsid w:val="000E4CD0"/>
    <w:rsid w:val="000E65BF"/>
    <w:rsid w:val="000E69D0"/>
    <w:rsid w:val="000E6BAC"/>
    <w:rsid w:val="000E6C16"/>
    <w:rsid w:val="000E7026"/>
    <w:rsid w:val="000E72BC"/>
    <w:rsid w:val="000E770E"/>
    <w:rsid w:val="000E7CD4"/>
    <w:rsid w:val="000F0193"/>
    <w:rsid w:val="000F01D0"/>
    <w:rsid w:val="000F03C6"/>
    <w:rsid w:val="000F0593"/>
    <w:rsid w:val="000F1A15"/>
    <w:rsid w:val="000F20AE"/>
    <w:rsid w:val="000F2922"/>
    <w:rsid w:val="000F2C28"/>
    <w:rsid w:val="000F2E76"/>
    <w:rsid w:val="000F32F8"/>
    <w:rsid w:val="000F33C7"/>
    <w:rsid w:val="000F35E8"/>
    <w:rsid w:val="000F36B5"/>
    <w:rsid w:val="000F3739"/>
    <w:rsid w:val="000F43B5"/>
    <w:rsid w:val="000F48CB"/>
    <w:rsid w:val="000F495A"/>
    <w:rsid w:val="000F4F91"/>
    <w:rsid w:val="000F58EC"/>
    <w:rsid w:val="000F6092"/>
    <w:rsid w:val="000F6253"/>
    <w:rsid w:val="000F6CEE"/>
    <w:rsid w:val="000F7090"/>
    <w:rsid w:val="000F7493"/>
    <w:rsid w:val="000F79E4"/>
    <w:rsid w:val="000F79EC"/>
    <w:rsid w:val="000F7D2C"/>
    <w:rsid w:val="000F7DD5"/>
    <w:rsid w:val="001001C2"/>
    <w:rsid w:val="0010027C"/>
    <w:rsid w:val="0010096A"/>
    <w:rsid w:val="00100DDF"/>
    <w:rsid w:val="00101193"/>
    <w:rsid w:val="00101945"/>
    <w:rsid w:val="0010219D"/>
    <w:rsid w:val="001029EE"/>
    <w:rsid w:val="00102A35"/>
    <w:rsid w:val="00102B18"/>
    <w:rsid w:val="00103137"/>
    <w:rsid w:val="001032D0"/>
    <w:rsid w:val="001034D7"/>
    <w:rsid w:val="00103C03"/>
    <w:rsid w:val="00103F21"/>
    <w:rsid w:val="001044DD"/>
    <w:rsid w:val="00104FB7"/>
    <w:rsid w:val="00105EB8"/>
    <w:rsid w:val="00106595"/>
    <w:rsid w:val="001069E0"/>
    <w:rsid w:val="00106B11"/>
    <w:rsid w:val="0010700D"/>
    <w:rsid w:val="001075BB"/>
    <w:rsid w:val="001075CA"/>
    <w:rsid w:val="00111447"/>
    <w:rsid w:val="00111499"/>
    <w:rsid w:val="00111986"/>
    <w:rsid w:val="00111CF1"/>
    <w:rsid w:val="00111E7F"/>
    <w:rsid w:val="00111F0F"/>
    <w:rsid w:val="00112081"/>
    <w:rsid w:val="00114489"/>
    <w:rsid w:val="001147EA"/>
    <w:rsid w:val="00114C84"/>
    <w:rsid w:val="00114D51"/>
    <w:rsid w:val="00114E9B"/>
    <w:rsid w:val="00114EBD"/>
    <w:rsid w:val="00115037"/>
    <w:rsid w:val="001151F2"/>
    <w:rsid w:val="00115806"/>
    <w:rsid w:val="0011669B"/>
    <w:rsid w:val="00116FAC"/>
    <w:rsid w:val="001170BC"/>
    <w:rsid w:val="00117918"/>
    <w:rsid w:val="00117A2A"/>
    <w:rsid w:val="00117A4F"/>
    <w:rsid w:val="00117FBB"/>
    <w:rsid w:val="001204AC"/>
    <w:rsid w:val="00120517"/>
    <w:rsid w:val="00120914"/>
    <w:rsid w:val="00120BE6"/>
    <w:rsid w:val="00121227"/>
    <w:rsid w:val="0012142D"/>
    <w:rsid w:val="0012180A"/>
    <w:rsid w:val="00121CDA"/>
    <w:rsid w:val="00121D11"/>
    <w:rsid w:val="001226BF"/>
    <w:rsid w:val="00122B62"/>
    <w:rsid w:val="00123A2D"/>
    <w:rsid w:val="00123AB7"/>
    <w:rsid w:val="00123C72"/>
    <w:rsid w:val="00123EFC"/>
    <w:rsid w:val="001240D9"/>
    <w:rsid w:val="00124917"/>
    <w:rsid w:val="00124B06"/>
    <w:rsid w:val="0012511F"/>
    <w:rsid w:val="00125386"/>
    <w:rsid w:val="0012545F"/>
    <w:rsid w:val="00125677"/>
    <w:rsid w:val="001258F5"/>
    <w:rsid w:val="00125AAC"/>
    <w:rsid w:val="00126A10"/>
    <w:rsid w:val="001271A7"/>
    <w:rsid w:val="00127204"/>
    <w:rsid w:val="001301FE"/>
    <w:rsid w:val="001303F1"/>
    <w:rsid w:val="0013058E"/>
    <w:rsid w:val="00131A95"/>
    <w:rsid w:val="00131E1F"/>
    <w:rsid w:val="00131ED3"/>
    <w:rsid w:val="0013230D"/>
    <w:rsid w:val="00132CAF"/>
    <w:rsid w:val="00132CFD"/>
    <w:rsid w:val="0013364B"/>
    <w:rsid w:val="00133DAF"/>
    <w:rsid w:val="0013433F"/>
    <w:rsid w:val="0013485A"/>
    <w:rsid w:val="00134AAF"/>
    <w:rsid w:val="001351F7"/>
    <w:rsid w:val="00135780"/>
    <w:rsid w:val="00135C05"/>
    <w:rsid w:val="00136260"/>
    <w:rsid w:val="001362C4"/>
    <w:rsid w:val="00136EE5"/>
    <w:rsid w:val="001375D6"/>
    <w:rsid w:val="001376D9"/>
    <w:rsid w:val="001376F1"/>
    <w:rsid w:val="001377C0"/>
    <w:rsid w:val="00140165"/>
    <w:rsid w:val="001401FB"/>
    <w:rsid w:val="00140500"/>
    <w:rsid w:val="00140FD4"/>
    <w:rsid w:val="00141392"/>
    <w:rsid w:val="00142413"/>
    <w:rsid w:val="0014255F"/>
    <w:rsid w:val="001427DE"/>
    <w:rsid w:val="001430FC"/>
    <w:rsid w:val="00143A61"/>
    <w:rsid w:val="00143CE7"/>
    <w:rsid w:val="00143D20"/>
    <w:rsid w:val="00143EA5"/>
    <w:rsid w:val="001440CF"/>
    <w:rsid w:val="0014432C"/>
    <w:rsid w:val="00144331"/>
    <w:rsid w:val="00144712"/>
    <w:rsid w:val="00145317"/>
    <w:rsid w:val="00145A05"/>
    <w:rsid w:val="00145CC9"/>
    <w:rsid w:val="00145CE8"/>
    <w:rsid w:val="00145DED"/>
    <w:rsid w:val="00146624"/>
    <w:rsid w:val="00146877"/>
    <w:rsid w:val="00146DB3"/>
    <w:rsid w:val="00147B36"/>
    <w:rsid w:val="0015071B"/>
    <w:rsid w:val="00151043"/>
    <w:rsid w:val="0015172B"/>
    <w:rsid w:val="00151790"/>
    <w:rsid w:val="001518B1"/>
    <w:rsid w:val="00151B60"/>
    <w:rsid w:val="00151B69"/>
    <w:rsid w:val="00151F63"/>
    <w:rsid w:val="001521C0"/>
    <w:rsid w:val="001523A3"/>
    <w:rsid w:val="00152459"/>
    <w:rsid w:val="001525D0"/>
    <w:rsid w:val="00153157"/>
    <w:rsid w:val="0015403C"/>
    <w:rsid w:val="00154289"/>
    <w:rsid w:val="00155934"/>
    <w:rsid w:val="0015597D"/>
    <w:rsid w:val="00156357"/>
    <w:rsid w:val="00156989"/>
    <w:rsid w:val="001579CE"/>
    <w:rsid w:val="0016038D"/>
    <w:rsid w:val="0016041B"/>
    <w:rsid w:val="001607B7"/>
    <w:rsid w:val="00160F9E"/>
    <w:rsid w:val="0016117E"/>
    <w:rsid w:val="00161605"/>
    <w:rsid w:val="00161C26"/>
    <w:rsid w:val="00161FEB"/>
    <w:rsid w:val="00162144"/>
    <w:rsid w:val="001622EE"/>
    <w:rsid w:val="00162315"/>
    <w:rsid w:val="0016233A"/>
    <w:rsid w:val="001624E8"/>
    <w:rsid w:val="00162615"/>
    <w:rsid w:val="00162781"/>
    <w:rsid w:val="00163942"/>
    <w:rsid w:val="00163944"/>
    <w:rsid w:val="00163DAA"/>
    <w:rsid w:val="00163E9C"/>
    <w:rsid w:val="0016476E"/>
    <w:rsid w:val="00164ACB"/>
    <w:rsid w:val="00164C20"/>
    <w:rsid w:val="001658C6"/>
    <w:rsid w:val="00165C05"/>
    <w:rsid w:val="00165FB6"/>
    <w:rsid w:val="001663B7"/>
    <w:rsid w:val="00166AAD"/>
    <w:rsid w:val="00166FF9"/>
    <w:rsid w:val="0016709C"/>
    <w:rsid w:val="0016710F"/>
    <w:rsid w:val="001703A5"/>
    <w:rsid w:val="00170A6E"/>
    <w:rsid w:val="00171329"/>
    <w:rsid w:val="001716F9"/>
    <w:rsid w:val="00171A03"/>
    <w:rsid w:val="001724E4"/>
    <w:rsid w:val="00172BD6"/>
    <w:rsid w:val="00172F2B"/>
    <w:rsid w:val="00174236"/>
    <w:rsid w:val="0017462A"/>
    <w:rsid w:val="001747E0"/>
    <w:rsid w:val="0017497A"/>
    <w:rsid w:val="00174C3F"/>
    <w:rsid w:val="00174CCA"/>
    <w:rsid w:val="00174FC3"/>
    <w:rsid w:val="001754FD"/>
    <w:rsid w:val="00175AF3"/>
    <w:rsid w:val="001761FA"/>
    <w:rsid w:val="0017620F"/>
    <w:rsid w:val="001763F8"/>
    <w:rsid w:val="00176895"/>
    <w:rsid w:val="001774DA"/>
    <w:rsid w:val="00180814"/>
    <w:rsid w:val="00182198"/>
    <w:rsid w:val="001835F1"/>
    <w:rsid w:val="00183606"/>
    <w:rsid w:val="0018370F"/>
    <w:rsid w:val="00183B9E"/>
    <w:rsid w:val="0018404E"/>
    <w:rsid w:val="001844AC"/>
    <w:rsid w:val="0018483A"/>
    <w:rsid w:val="00184E6B"/>
    <w:rsid w:val="001857A3"/>
    <w:rsid w:val="00185EDF"/>
    <w:rsid w:val="00185F68"/>
    <w:rsid w:val="00186004"/>
    <w:rsid w:val="0018720D"/>
    <w:rsid w:val="0018768F"/>
    <w:rsid w:val="001900E6"/>
    <w:rsid w:val="001901BE"/>
    <w:rsid w:val="001905BD"/>
    <w:rsid w:val="001906BA"/>
    <w:rsid w:val="00190BE1"/>
    <w:rsid w:val="00190E14"/>
    <w:rsid w:val="00191906"/>
    <w:rsid w:val="00191A2A"/>
    <w:rsid w:val="00191B12"/>
    <w:rsid w:val="00191FC3"/>
    <w:rsid w:val="0019205B"/>
    <w:rsid w:val="00192361"/>
    <w:rsid w:val="00192ABF"/>
    <w:rsid w:val="00192CBE"/>
    <w:rsid w:val="00192E46"/>
    <w:rsid w:val="001949DF"/>
    <w:rsid w:val="00194FAC"/>
    <w:rsid w:val="00195790"/>
    <w:rsid w:val="00195DD9"/>
    <w:rsid w:val="001A0EC9"/>
    <w:rsid w:val="001A136C"/>
    <w:rsid w:val="001A1772"/>
    <w:rsid w:val="001A1DB6"/>
    <w:rsid w:val="001A2591"/>
    <w:rsid w:val="001A2A89"/>
    <w:rsid w:val="001A2D53"/>
    <w:rsid w:val="001A3647"/>
    <w:rsid w:val="001A4435"/>
    <w:rsid w:val="001A4835"/>
    <w:rsid w:val="001A50B4"/>
    <w:rsid w:val="001A520A"/>
    <w:rsid w:val="001A5340"/>
    <w:rsid w:val="001A56C6"/>
    <w:rsid w:val="001A5A69"/>
    <w:rsid w:val="001A625E"/>
    <w:rsid w:val="001A6506"/>
    <w:rsid w:val="001A6BF4"/>
    <w:rsid w:val="001A6C3D"/>
    <w:rsid w:val="001A7032"/>
    <w:rsid w:val="001A7133"/>
    <w:rsid w:val="001B0110"/>
    <w:rsid w:val="001B085F"/>
    <w:rsid w:val="001B1084"/>
    <w:rsid w:val="001B123E"/>
    <w:rsid w:val="001B2D58"/>
    <w:rsid w:val="001B2FE2"/>
    <w:rsid w:val="001B30CF"/>
    <w:rsid w:val="001B3527"/>
    <w:rsid w:val="001B38F7"/>
    <w:rsid w:val="001B4385"/>
    <w:rsid w:val="001B53F5"/>
    <w:rsid w:val="001B55B1"/>
    <w:rsid w:val="001B56D2"/>
    <w:rsid w:val="001B5C4F"/>
    <w:rsid w:val="001B5D55"/>
    <w:rsid w:val="001B6772"/>
    <w:rsid w:val="001B697C"/>
    <w:rsid w:val="001B7658"/>
    <w:rsid w:val="001C0026"/>
    <w:rsid w:val="001C04D2"/>
    <w:rsid w:val="001C07AA"/>
    <w:rsid w:val="001C0919"/>
    <w:rsid w:val="001C0A2E"/>
    <w:rsid w:val="001C0B56"/>
    <w:rsid w:val="001C0E3B"/>
    <w:rsid w:val="001C10DC"/>
    <w:rsid w:val="001C14A5"/>
    <w:rsid w:val="001C14D5"/>
    <w:rsid w:val="001C1801"/>
    <w:rsid w:val="001C1DC4"/>
    <w:rsid w:val="001C2193"/>
    <w:rsid w:val="001C27F0"/>
    <w:rsid w:val="001C2E20"/>
    <w:rsid w:val="001C2EAB"/>
    <w:rsid w:val="001C384C"/>
    <w:rsid w:val="001C3B94"/>
    <w:rsid w:val="001C3DA0"/>
    <w:rsid w:val="001C4602"/>
    <w:rsid w:val="001C4743"/>
    <w:rsid w:val="001C50AF"/>
    <w:rsid w:val="001C5379"/>
    <w:rsid w:val="001C5519"/>
    <w:rsid w:val="001C62DF"/>
    <w:rsid w:val="001C6710"/>
    <w:rsid w:val="001C68B3"/>
    <w:rsid w:val="001C6BBF"/>
    <w:rsid w:val="001C6DB2"/>
    <w:rsid w:val="001C6E20"/>
    <w:rsid w:val="001D082B"/>
    <w:rsid w:val="001D0D50"/>
    <w:rsid w:val="001D1501"/>
    <w:rsid w:val="001D19A5"/>
    <w:rsid w:val="001D1CB7"/>
    <w:rsid w:val="001D1E80"/>
    <w:rsid w:val="001D30FF"/>
    <w:rsid w:val="001D3330"/>
    <w:rsid w:val="001D3B3A"/>
    <w:rsid w:val="001D3BFC"/>
    <w:rsid w:val="001D3D12"/>
    <w:rsid w:val="001D4733"/>
    <w:rsid w:val="001D4BFE"/>
    <w:rsid w:val="001D5686"/>
    <w:rsid w:val="001D5C43"/>
    <w:rsid w:val="001D5D32"/>
    <w:rsid w:val="001D64AE"/>
    <w:rsid w:val="001E0172"/>
    <w:rsid w:val="001E0821"/>
    <w:rsid w:val="001E0DD1"/>
    <w:rsid w:val="001E0F62"/>
    <w:rsid w:val="001E1047"/>
    <w:rsid w:val="001E111D"/>
    <w:rsid w:val="001E1D10"/>
    <w:rsid w:val="001E1FCE"/>
    <w:rsid w:val="001E2749"/>
    <w:rsid w:val="001E279A"/>
    <w:rsid w:val="001E3103"/>
    <w:rsid w:val="001E32C1"/>
    <w:rsid w:val="001E3458"/>
    <w:rsid w:val="001E357A"/>
    <w:rsid w:val="001E4248"/>
    <w:rsid w:val="001E42B2"/>
    <w:rsid w:val="001E43AD"/>
    <w:rsid w:val="001E44B5"/>
    <w:rsid w:val="001E473A"/>
    <w:rsid w:val="001E4AE0"/>
    <w:rsid w:val="001E4FA8"/>
    <w:rsid w:val="001E57B3"/>
    <w:rsid w:val="001E590B"/>
    <w:rsid w:val="001E5AF7"/>
    <w:rsid w:val="001E5B9B"/>
    <w:rsid w:val="001E5DBC"/>
    <w:rsid w:val="001E6600"/>
    <w:rsid w:val="001E6643"/>
    <w:rsid w:val="001E6978"/>
    <w:rsid w:val="001E7177"/>
    <w:rsid w:val="001E7419"/>
    <w:rsid w:val="001E77F6"/>
    <w:rsid w:val="001E785B"/>
    <w:rsid w:val="001F0963"/>
    <w:rsid w:val="001F0B50"/>
    <w:rsid w:val="001F1088"/>
    <w:rsid w:val="001F1740"/>
    <w:rsid w:val="001F1D23"/>
    <w:rsid w:val="001F1D52"/>
    <w:rsid w:val="001F1E75"/>
    <w:rsid w:val="001F1E9C"/>
    <w:rsid w:val="001F2A54"/>
    <w:rsid w:val="001F33B2"/>
    <w:rsid w:val="001F3801"/>
    <w:rsid w:val="001F3E72"/>
    <w:rsid w:val="001F3E98"/>
    <w:rsid w:val="001F41E5"/>
    <w:rsid w:val="001F48CD"/>
    <w:rsid w:val="001F4B86"/>
    <w:rsid w:val="001F4CD9"/>
    <w:rsid w:val="001F4F92"/>
    <w:rsid w:val="001F5622"/>
    <w:rsid w:val="001F5E1C"/>
    <w:rsid w:val="001F62B0"/>
    <w:rsid w:val="001F6925"/>
    <w:rsid w:val="001F699E"/>
    <w:rsid w:val="001F6D17"/>
    <w:rsid w:val="001F7472"/>
    <w:rsid w:val="001F762B"/>
    <w:rsid w:val="001F790B"/>
    <w:rsid w:val="001F7A58"/>
    <w:rsid w:val="00200898"/>
    <w:rsid w:val="00201439"/>
    <w:rsid w:val="00201BB1"/>
    <w:rsid w:val="00201F7B"/>
    <w:rsid w:val="00201FCB"/>
    <w:rsid w:val="002022A7"/>
    <w:rsid w:val="00202373"/>
    <w:rsid w:val="002025C2"/>
    <w:rsid w:val="00202F11"/>
    <w:rsid w:val="00202F3B"/>
    <w:rsid w:val="002030BC"/>
    <w:rsid w:val="002031B0"/>
    <w:rsid w:val="002049C7"/>
    <w:rsid w:val="00204F71"/>
    <w:rsid w:val="0020561B"/>
    <w:rsid w:val="0020614F"/>
    <w:rsid w:val="0020649B"/>
    <w:rsid w:val="00206AFC"/>
    <w:rsid w:val="00206CAA"/>
    <w:rsid w:val="00206E29"/>
    <w:rsid w:val="00206F27"/>
    <w:rsid w:val="00207282"/>
    <w:rsid w:val="0021055D"/>
    <w:rsid w:val="00210783"/>
    <w:rsid w:val="00211072"/>
    <w:rsid w:val="0021121B"/>
    <w:rsid w:val="00211766"/>
    <w:rsid w:val="00211E86"/>
    <w:rsid w:val="00211F1D"/>
    <w:rsid w:val="00212B88"/>
    <w:rsid w:val="00212F12"/>
    <w:rsid w:val="002136DA"/>
    <w:rsid w:val="00213B06"/>
    <w:rsid w:val="00213F06"/>
    <w:rsid w:val="00215472"/>
    <w:rsid w:val="002154DE"/>
    <w:rsid w:val="00215508"/>
    <w:rsid w:val="002155E9"/>
    <w:rsid w:val="00215FCD"/>
    <w:rsid w:val="00216522"/>
    <w:rsid w:val="0021696D"/>
    <w:rsid w:val="00216B13"/>
    <w:rsid w:val="0022072B"/>
    <w:rsid w:val="0022074B"/>
    <w:rsid w:val="00220A47"/>
    <w:rsid w:val="0022129F"/>
    <w:rsid w:val="002216BE"/>
    <w:rsid w:val="00221BAF"/>
    <w:rsid w:val="00222993"/>
    <w:rsid w:val="00222A58"/>
    <w:rsid w:val="00223766"/>
    <w:rsid w:val="00223ADF"/>
    <w:rsid w:val="00223D7D"/>
    <w:rsid w:val="00223F71"/>
    <w:rsid w:val="00224137"/>
    <w:rsid w:val="00224B1E"/>
    <w:rsid w:val="00224E1B"/>
    <w:rsid w:val="00225008"/>
    <w:rsid w:val="00225A4D"/>
    <w:rsid w:val="0022681F"/>
    <w:rsid w:val="0022689E"/>
    <w:rsid w:val="00226913"/>
    <w:rsid w:val="00226E48"/>
    <w:rsid w:val="00226EC8"/>
    <w:rsid w:val="00226EF4"/>
    <w:rsid w:val="0022720A"/>
    <w:rsid w:val="00227532"/>
    <w:rsid w:val="00227696"/>
    <w:rsid w:val="00227848"/>
    <w:rsid w:val="00227883"/>
    <w:rsid w:val="00227A89"/>
    <w:rsid w:val="00230019"/>
    <w:rsid w:val="002305EC"/>
    <w:rsid w:val="00230911"/>
    <w:rsid w:val="00231670"/>
    <w:rsid w:val="00231FE3"/>
    <w:rsid w:val="00232975"/>
    <w:rsid w:val="00232C18"/>
    <w:rsid w:val="002332FF"/>
    <w:rsid w:val="002339C5"/>
    <w:rsid w:val="00234376"/>
    <w:rsid w:val="00234C2E"/>
    <w:rsid w:val="00234F03"/>
    <w:rsid w:val="002353DA"/>
    <w:rsid w:val="0023562A"/>
    <w:rsid w:val="00235796"/>
    <w:rsid w:val="00235A5C"/>
    <w:rsid w:val="00235B02"/>
    <w:rsid w:val="00235B9C"/>
    <w:rsid w:val="0023636E"/>
    <w:rsid w:val="002371AB"/>
    <w:rsid w:val="00237F1B"/>
    <w:rsid w:val="00240011"/>
    <w:rsid w:val="002401FC"/>
    <w:rsid w:val="00240306"/>
    <w:rsid w:val="00240486"/>
    <w:rsid w:val="002407E0"/>
    <w:rsid w:val="002410B6"/>
    <w:rsid w:val="00241438"/>
    <w:rsid w:val="00241E93"/>
    <w:rsid w:val="002437B1"/>
    <w:rsid w:val="00243933"/>
    <w:rsid w:val="002443B7"/>
    <w:rsid w:val="00244A79"/>
    <w:rsid w:val="00244CBB"/>
    <w:rsid w:val="00244FEA"/>
    <w:rsid w:val="0024503C"/>
    <w:rsid w:val="002452A3"/>
    <w:rsid w:val="0024580D"/>
    <w:rsid w:val="00245A18"/>
    <w:rsid w:val="00245B86"/>
    <w:rsid w:val="00245BAF"/>
    <w:rsid w:val="00246497"/>
    <w:rsid w:val="0024668A"/>
    <w:rsid w:val="00246BEF"/>
    <w:rsid w:val="00250262"/>
    <w:rsid w:val="002504DD"/>
    <w:rsid w:val="002514E5"/>
    <w:rsid w:val="0025167E"/>
    <w:rsid w:val="002517FC"/>
    <w:rsid w:val="00251C1A"/>
    <w:rsid w:val="0025226E"/>
    <w:rsid w:val="00252650"/>
    <w:rsid w:val="00252EE2"/>
    <w:rsid w:val="002531E8"/>
    <w:rsid w:val="002538F6"/>
    <w:rsid w:val="00253919"/>
    <w:rsid w:val="00253961"/>
    <w:rsid w:val="00253A74"/>
    <w:rsid w:val="0025452A"/>
    <w:rsid w:val="0025499E"/>
    <w:rsid w:val="0025526E"/>
    <w:rsid w:val="00255DCC"/>
    <w:rsid w:val="00257505"/>
    <w:rsid w:val="00257FFB"/>
    <w:rsid w:val="0026100C"/>
    <w:rsid w:val="00261B14"/>
    <w:rsid w:val="00261DF4"/>
    <w:rsid w:val="00261FE5"/>
    <w:rsid w:val="00263964"/>
    <w:rsid w:val="002643C8"/>
    <w:rsid w:val="002644F3"/>
    <w:rsid w:val="00264869"/>
    <w:rsid w:val="002652AD"/>
    <w:rsid w:val="00265E93"/>
    <w:rsid w:val="00266CDB"/>
    <w:rsid w:val="00267226"/>
    <w:rsid w:val="00267232"/>
    <w:rsid w:val="00267B74"/>
    <w:rsid w:val="0027017F"/>
    <w:rsid w:val="002703DA"/>
    <w:rsid w:val="0027067E"/>
    <w:rsid w:val="00270C4F"/>
    <w:rsid w:val="002711A2"/>
    <w:rsid w:val="0027155F"/>
    <w:rsid w:val="00271787"/>
    <w:rsid w:val="002717E9"/>
    <w:rsid w:val="00271983"/>
    <w:rsid w:val="00271C5F"/>
    <w:rsid w:val="00272854"/>
    <w:rsid w:val="00272E83"/>
    <w:rsid w:val="00273A53"/>
    <w:rsid w:val="00274870"/>
    <w:rsid w:val="002749A5"/>
    <w:rsid w:val="00274B40"/>
    <w:rsid w:val="00274CD1"/>
    <w:rsid w:val="002752DF"/>
    <w:rsid w:val="002754D3"/>
    <w:rsid w:val="00276032"/>
    <w:rsid w:val="00276D5D"/>
    <w:rsid w:val="00277856"/>
    <w:rsid w:val="00280FE3"/>
    <w:rsid w:val="0028107A"/>
    <w:rsid w:val="00281613"/>
    <w:rsid w:val="00281F3C"/>
    <w:rsid w:val="002826C6"/>
    <w:rsid w:val="00282886"/>
    <w:rsid w:val="00282FF4"/>
    <w:rsid w:val="002830D9"/>
    <w:rsid w:val="002841C5"/>
    <w:rsid w:val="002848D5"/>
    <w:rsid w:val="00284A89"/>
    <w:rsid w:val="002850D9"/>
    <w:rsid w:val="002859C1"/>
    <w:rsid w:val="002859E0"/>
    <w:rsid w:val="00285DDB"/>
    <w:rsid w:val="00285EFC"/>
    <w:rsid w:val="00286918"/>
    <w:rsid w:val="00286AFD"/>
    <w:rsid w:val="00286E0C"/>
    <w:rsid w:val="00287272"/>
    <w:rsid w:val="0028727D"/>
    <w:rsid w:val="00290153"/>
    <w:rsid w:val="00290851"/>
    <w:rsid w:val="00290EE9"/>
    <w:rsid w:val="00291BE7"/>
    <w:rsid w:val="00291DCC"/>
    <w:rsid w:val="00292253"/>
    <w:rsid w:val="00292289"/>
    <w:rsid w:val="00292717"/>
    <w:rsid w:val="00292F59"/>
    <w:rsid w:val="002930A7"/>
    <w:rsid w:val="00293211"/>
    <w:rsid w:val="00294587"/>
    <w:rsid w:val="002946CB"/>
    <w:rsid w:val="00294953"/>
    <w:rsid w:val="00294C94"/>
    <w:rsid w:val="00294EE1"/>
    <w:rsid w:val="00295395"/>
    <w:rsid w:val="00295AFC"/>
    <w:rsid w:val="00295F27"/>
    <w:rsid w:val="002961DC"/>
    <w:rsid w:val="002963C0"/>
    <w:rsid w:val="0029708B"/>
    <w:rsid w:val="002979BB"/>
    <w:rsid w:val="002979D0"/>
    <w:rsid w:val="00297D0E"/>
    <w:rsid w:val="002A0879"/>
    <w:rsid w:val="002A12E2"/>
    <w:rsid w:val="002A147D"/>
    <w:rsid w:val="002A167B"/>
    <w:rsid w:val="002A1FEA"/>
    <w:rsid w:val="002A22F9"/>
    <w:rsid w:val="002A24C6"/>
    <w:rsid w:val="002A2558"/>
    <w:rsid w:val="002A2606"/>
    <w:rsid w:val="002A290E"/>
    <w:rsid w:val="002A29BB"/>
    <w:rsid w:val="002A2BAC"/>
    <w:rsid w:val="002A309E"/>
    <w:rsid w:val="002A3B85"/>
    <w:rsid w:val="002A419E"/>
    <w:rsid w:val="002A42D9"/>
    <w:rsid w:val="002A471E"/>
    <w:rsid w:val="002A5846"/>
    <w:rsid w:val="002A5870"/>
    <w:rsid w:val="002A6362"/>
    <w:rsid w:val="002A642A"/>
    <w:rsid w:val="002A6A34"/>
    <w:rsid w:val="002A7222"/>
    <w:rsid w:val="002A757E"/>
    <w:rsid w:val="002A76D8"/>
    <w:rsid w:val="002A7873"/>
    <w:rsid w:val="002A79AE"/>
    <w:rsid w:val="002A7D4E"/>
    <w:rsid w:val="002B00F9"/>
    <w:rsid w:val="002B0E87"/>
    <w:rsid w:val="002B180F"/>
    <w:rsid w:val="002B1B44"/>
    <w:rsid w:val="002B21B4"/>
    <w:rsid w:val="002B293D"/>
    <w:rsid w:val="002B331E"/>
    <w:rsid w:val="002B332B"/>
    <w:rsid w:val="002B35C2"/>
    <w:rsid w:val="002B3A7A"/>
    <w:rsid w:val="002B5258"/>
    <w:rsid w:val="002B5506"/>
    <w:rsid w:val="002B6022"/>
    <w:rsid w:val="002B6C7D"/>
    <w:rsid w:val="002C0207"/>
    <w:rsid w:val="002C05F6"/>
    <w:rsid w:val="002C11AF"/>
    <w:rsid w:val="002C2192"/>
    <w:rsid w:val="002C27DD"/>
    <w:rsid w:val="002C2CD7"/>
    <w:rsid w:val="002C2DE1"/>
    <w:rsid w:val="002C3DDF"/>
    <w:rsid w:val="002C4136"/>
    <w:rsid w:val="002C4257"/>
    <w:rsid w:val="002C480E"/>
    <w:rsid w:val="002C4D33"/>
    <w:rsid w:val="002C52DA"/>
    <w:rsid w:val="002C5539"/>
    <w:rsid w:val="002C5C0C"/>
    <w:rsid w:val="002C6421"/>
    <w:rsid w:val="002C66EA"/>
    <w:rsid w:val="002C70DA"/>
    <w:rsid w:val="002C7C4C"/>
    <w:rsid w:val="002C7D19"/>
    <w:rsid w:val="002C7ECD"/>
    <w:rsid w:val="002D016C"/>
    <w:rsid w:val="002D03D8"/>
    <w:rsid w:val="002D0CA3"/>
    <w:rsid w:val="002D176D"/>
    <w:rsid w:val="002D19E7"/>
    <w:rsid w:val="002D1E26"/>
    <w:rsid w:val="002D1F8D"/>
    <w:rsid w:val="002D2413"/>
    <w:rsid w:val="002D2455"/>
    <w:rsid w:val="002D2DE9"/>
    <w:rsid w:val="002D31C3"/>
    <w:rsid w:val="002D38AF"/>
    <w:rsid w:val="002D51AB"/>
    <w:rsid w:val="002D626A"/>
    <w:rsid w:val="002D72B9"/>
    <w:rsid w:val="002D77AA"/>
    <w:rsid w:val="002D7F33"/>
    <w:rsid w:val="002E1751"/>
    <w:rsid w:val="002E1820"/>
    <w:rsid w:val="002E20F3"/>
    <w:rsid w:val="002E2853"/>
    <w:rsid w:val="002E2943"/>
    <w:rsid w:val="002E2B8C"/>
    <w:rsid w:val="002E2BAB"/>
    <w:rsid w:val="002E3010"/>
    <w:rsid w:val="002E3237"/>
    <w:rsid w:val="002E3388"/>
    <w:rsid w:val="002E3899"/>
    <w:rsid w:val="002E3903"/>
    <w:rsid w:val="002E3DCF"/>
    <w:rsid w:val="002E4678"/>
    <w:rsid w:val="002E4B05"/>
    <w:rsid w:val="002E4CE0"/>
    <w:rsid w:val="002E4DF6"/>
    <w:rsid w:val="002E4E90"/>
    <w:rsid w:val="002E5786"/>
    <w:rsid w:val="002E5BF5"/>
    <w:rsid w:val="002E5EAC"/>
    <w:rsid w:val="002E66FE"/>
    <w:rsid w:val="002E6DDD"/>
    <w:rsid w:val="002E7347"/>
    <w:rsid w:val="002E74A9"/>
    <w:rsid w:val="002E75B5"/>
    <w:rsid w:val="002F06B4"/>
    <w:rsid w:val="002F0B52"/>
    <w:rsid w:val="002F0FD4"/>
    <w:rsid w:val="002F38C3"/>
    <w:rsid w:val="002F4284"/>
    <w:rsid w:val="002F4DF0"/>
    <w:rsid w:val="002F4E78"/>
    <w:rsid w:val="002F51BD"/>
    <w:rsid w:val="002F5D64"/>
    <w:rsid w:val="002F5DAE"/>
    <w:rsid w:val="002F6AC5"/>
    <w:rsid w:val="002F71F4"/>
    <w:rsid w:val="002F7A2F"/>
    <w:rsid w:val="00300685"/>
    <w:rsid w:val="00300749"/>
    <w:rsid w:val="0030228C"/>
    <w:rsid w:val="003025D5"/>
    <w:rsid w:val="00302621"/>
    <w:rsid w:val="003029E7"/>
    <w:rsid w:val="003029EF"/>
    <w:rsid w:val="00302D48"/>
    <w:rsid w:val="003036B4"/>
    <w:rsid w:val="00304405"/>
    <w:rsid w:val="00304626"/>
    <w:rsid w:val="003048D9"/>
    <w:rsid w:val="00304B22"/>
    <w:rsid w:val="00304D93"/>
    <w:rsid w:val="003051C0"/>
    <w:rsid w:val="003058F0"/>
    <w:rsid w:val="00305B46"/>
    <w:rsid w:val="00305DAE"/>
    <w:rsid w:val="00305F34"/>
    <w:rsid w:val="003061B9"/>
    <w:rsid w:val="00307296"/>
    <w:rsid w:val="00307795"/>
    <w:rsid w:val="003103E5"/>
    <w:rsid w:val="0031076F"/>
    <w:rsid w:val="0031163A"/>
    <w:rsid w:val="0031257A"/>
    <w:rsid w:val="00312AF4"/>
    <w:rsid w:val="00313AFB"/>
    <w:rsid w:val="0031476C"/>
    <w:rsid w:val="003153B6"/>
    <w:rsid w:val="00315AFA"/>
    <w:rsid w:val="003161DC"/>
    <w:rsid w:val="0031624C"/>
    <w:rsid w:val="00317F85"/>
    <w:rsid w:val="003204F2"/>
    <w:rsid w:val="00320659"/>
    <w:rsid w:val="00320B27"/>
    <w:rsid w:val="003214EF"/>
    <w:rsid w:val="00321673"/>
    <w:rsid w:val="003220D7"/>
    <w:rsid w:val="00323004"/>
    <w:rsid w:val="00323633"/>
    <w:rsid w:val="0032392C"/>
    <w:rsid w:val="00323F96"/>
    <w:rsid w:val="00324877"/>
    <w:rsid w:val="00324D84"/>
    <w:rsid w:val="00325017"/>
    <w:rsid w:val="003253D6"/>
    <w:rsid w:val="00325A0D"/>
    <w:rsid w:val="00325D32"/>
    <w:rsid w:val="00326315"/>
    <w:rsid w:val="0032643E"/>
    <w:rsid w:val="00326D7F"/>
    <w:rsid w:val="00327AA1"/>
    <w:rsid w:val="00330624"/>
    <w:rsid w:val="0033071D"/>
    <w:rsid w:val="00330784"/>
    <w:rsid w:val="00330B54"/>
    <w:rsid w:val="00330C11"/>
    <w:rsid w:val="00330FAF"/>
    <w:rsid w:val="00331665"/>
    <w:rsid w:val="00331F41"/>
    <w:rsid w:val="0033211E"/>
    <w:rsid w:val="0033265F"/>
    <w:rsid w:val="00332664"/>
    <w:rsid w:val="0033289D"/>
    <w:rsid w:val="00332983"/>
    <w:rsid w:val="00332C33"/>
    <w:rsid w:val="00333448"/>
    <w:rsid w:val="0033368B"/>
    <w:rsid w:val="0033371F"/>
    <w:rsid w:val="003337F6"/>
    <w:rsid w:val="00333AD3"/>
    <w:rsid w:val="00333CD3"/>
    <w:rsid w:val="00333E4F"/>
    <w:rsid w:val="0033536C"/>
    <w:rsid w:val="00335DB1"/>
    <w:rsid w:val="00335DDE"/>
    <w:rsid w:val="00336E6A"/>
    <w:rsid w:val="0033736A"/>
    <w:rsid w:val="00337551"/>
    <w:rsid w:val="00337919"/>
    <w:rsid w:val="00337CA0"/>
    <w:rsid w:val="00337F37"/>
    <w:rsid w:val="00337FFE"/>
    <w:rsid w:val="00340447"/>
    <w:rsid w:val="00340581"/>
    <w:rsid w:val="00340721"/>
    <w:rsid w:val="003423B6"/>
    <w:rsid w:val="003427DA"/>
    <w:rsid w:val="0034301C"/>
    <w:rsid w:val="0034362F"/>
    <w:rsid w:val="003441D8"/>
    <w:rsid w:val="0034483A"/>
    <w:rsid w:val="0034503E"/>
    <w:rsid w:val="0034509D"/>
    <w:rsid w:val="00345389"/>
    <w:rsid w:val="003454A3"/>
    <w:rsid w:val="00346178"/>
    <w:rsid w:val="00346709"/>
    <w:rsid w:val="00346CB2"/>
    <w:rsid w:val="00346E7D"/>
    <w:rsid w:val="00346ED3"/>
    <w:rsid w:val="00346FF0"/>
    <w:rsid w:val="00347C00"/>
    <w:rsid w:val="003508F9"/>
    <w:rsid w:val="00350CCD"/>
    <w:rsid w:val="00351272"/>
    <w:rsid w:val="00351471"/>
    <w:rsid w:val="00351838"/>
    <w:rsid w:val="00351B15"/>
    <w:rsid w:val="00351C1C"/>
    <w:rsid w:val="00351C55"/>
    <w:rsid w:val="00351FA6"/>
    <w:rsid w:val="0035212C"/>
    <w:rsid w:val="0035341C"/>
    <w:rsid w:val="00353905"/>
    <w:rsid w:val="003539D0"/>
    <w:rsid w:val="00353F95"/>
    <w:rsid w:val="00354594"/>
    <w:rsid w:val="003547D2"/>
    <w:rsid w:val="00354C81"/>
    <w:rsid w:val="00354FA5"/>
    <w:rsid w:val="003555A8"/>
    <w:rsid w:val="00355F71"/>
    <w:rsid w:val="00355F9B"/>
    <w:rsid w:val="00356113"/>
    <w:rsid w:val="00357C56"/>
    <w:rsid w:val="0036040A"/>
    <w:rsid w:val="00360D1F"/>
    <w:rsid w:val="00360F4B"/>
    <w:rsid w:val="00360FCD"/>
    <w:rsid w:val="0036140F"/>
    <w:rsid w:val="00361980"/>
    <w:rsid w:val="003622DB"/>
    <w:rsid w:val="00362359"/>
    <w:rsid w:val="00362719"/>
    <w:rsid w:val="003637F3"/>
    <w:rsid w:val="00363B9B"/>
    <w:rsid w:val="00364367"/>
    <w:rsid w:val="003643A4"/>
    <w:rsid w:val="003645FB"/>
    <w:rsid w:val="00364A0E"/>
    <w:rsid w:val="00364A31"/>
    <w:rsid w:val="00364F06"/>
    <w:rsid w:val="003652BA"/>
    <w:rsid w:val="00365458"/>
    <w:rsid w:val="003658D9"/>
    <w:rsid w:val="00365FD5"/>
    <w:rsid w:val="003666B0"/>
    <w:rsid w:val="00367318"/>
    <w:rsid w:val="003705EB"/>
    <w:rsid w:val="00370AD1"/>
    <w:rsid w:val="003710AA"/>
    <w:rsid w:val="00371117"/>
    <w:rsid w:val="00371566"/>
    <w:rsid w:val="0037171F"/>
    <w:rsid w:val="00371CBD"/>
    <w:rsid w:val="0037283E"/>
    <w:rsid w:val="00372F49"/>
    <w:rsid w:val="00373512"/>
    <w:rsid w:val="00374483"/>
    <w:rsid w:val="00374537"/>
    <w:rsid w:val="00374A5B"/>
    <w:rsid w:val="00374AD0"/>
    <w:rsid w:val="0037524E"/>
    <w:rsid w:val="003754F0"/>
    <w:rsid w:val="003756DE"/>
    <w:rsid w:val="00375E54"/>
    <w:rsid w:val="00376039"/>
    <w:rsid w:val="00376375"/>
    <w:rsid w:val="003766BC"/>
    <w:rsid w:val="0037692D"/>
    <w:rsid w:val="00377843"/>
    <w:rsid w:val="00377879"/>
    <w:rsid w:val="00377C82"/>
    <w:rsid w:val="00377D05"/>
    <w:rsid w:val="00377E00"/>
    <w:rsid w:val="0038069E"/>
    <w:rsid w:val="00380727"/>
    <w:rsid w:val="00380DC9"/>
    <w:rsid w:val="003810C9"/>
    <w:rsid w:val="00381A35"/>
    <w:rsid w:val="00381A7A"/>
    <w:rsid w:val="00381ACD"/>
    <w:rsid w:val="00381D94"/>
    <w:rsid w:val="00381E03"/>
    <w:rsid w:val="00382010"/>
    <w:rsid w:val="003826C6"/>
    <w:rsid w:val="00382979"/>
    <w:rsid w:val="0038305F"/>
    <w:rsid w:val="0038395E"/>
    <w:rsid w:val="00384016"/>
    <w:rsid w:val="00384926"/>
    <w:rsid w:val="00384994"/>
    <w:rsid w:val="00385B05"/>
    <w:rsid w:val="00385E57"/>
    <w:rsid w:val="00385F76"/>
    <w:rsid w:val="0038622E"/>
    <w:rsid w:val="0038683B"/>
    <w:rsid w:val="00386F5E"/>
    <w:rsid w:val="00387387"/>
    <w:rsid w:val="00387994"/>
    <w:rsid w:val="00387A78"/>
    <w:rsid w:val="00387B00"/>
    <w:rsid w:val="00387DB2"/>
    <w:rsid w:val="00390687"/>
    <w:rsid w:val="003913CB"/>
    <w:rsid w:val="003913EC"/>
    <w:rsid w:val="0039145C"/>
    <w:rsid w:val="00391629"/>
    <w:rsid w:val="0039163C"/>
    <w:rsid w:val="003919F2"/>
    <w:rsid w:val="00391B9C"/>
    <w:rsid w:val="00392991"/>
    <w:rsid w:val="0039339F"/>
    <w:rsid w:val="00393676"/>
    <w:rsid w:val="003939FB"/>
    <w:rsid w:val="00393E0D"/>
    <w:rsid w:val="00393FB5"/>
    <w:rsid w:val="00394535"/>
    <w:rsid w:val="00394810"/>
    <w:rsid w:val="003963F4"/>
    <w:rsid w:val="003969A5"/>
    <w:rsid w:val="00397115"/>
    <w:rsid w:val="0039765B"/>
    <w:rsid w:val="00397951"/>
    <w:rsid w:val="003A01D8"/>
    <w:rsid w:val="003A0336"/>
    <w:rsid w:val="003A0342"/>
    <w:rsid w:val="003A2030"/>
    <w:rsid w:val="003A2420"/>
    <w:rsid w:val="003A28F8"/>
    <w:rsid w:val="003A2DC8"/>
    <w:rsid w:val="003A2FDB"/>
    <w:rsid w:val="003A39E0"/>
    <w:rsid w:val="003A3D1A"/>
    <w:rsid w:val="003A4BAF"/>
    <w:rsid w:val="003A4C66"/>
    <w:rsid w:val="003A5277"/>
    <w:rsid w:val="003A62F8"/>
    <w:rsid w:val="003A6849"/>
    <w:rsid w:val="003A6B1C"/>
    <w:rsid w:val="003A72E3"/>
    <w:rsid w:val="003A7F32"/>
    <w:rsid w:val="003B0019"/>
    <w:rsid w:val="003B05F7"/>
    <w:rsid w:val="003B0AA2"/>
    <w:rsid w:val="003B1270"/>
    <w:rsid w:val="003B1BA5"/>
    <w:rsid w:val="003B2199"/>
    <w:rsid w:val="003B3327"/>
    <w:rsid w:val="003B34F2"/>
    <w:rsid w:val="003B3745"/>
    <w:rsid w:val="003B42F9"/>
    <w:rsid w:val="003B44C2"/>
    <w:rsid w:val="003B59B5"/>
    <w:rsid w:val="003B59E1"/>
    <w:rsid w:val="003B5A7A"/>
    <w:rsid w:val="003B5C3F"/>
    <w:rsid w:val="003B6086"/>
    <w:rsid w:val="003B6404"/>
    <w:rsid w:val="003B6CF5"/>
    <w:rsid w:val="003B7179"/>
    <w:rsid w:val="003B778C"/>
    <w:rsid w:val="003C0CF6"/>
    <w:rsid w:val="003C0EB0"/>
    <w:rsid w:val="003C12AE"/>
    <w:rsid w:val="003C17BB"/>
    <w:rsid w:val="003C1949"/>
    <w:rsid w:val="003C1A80"/>
    <w:rsid w:val="003C1AF1"/>
    <w:rsid w:val="003C2527"/>
    <w:rsid w:val="003C2585"/>
    <w:rsid w:val="003C2B98"/>
    <w:rsid w:val="003C302F"/>
    <w:rsid w:val="003C311B"/>
    <w:rsid w:val="003C35AA"/>
    <w:rsid w:val="003C386B"/>
    <w:rsid w:val="003C3948"/>
    <w:rsid w:val="003C44AB"/>
    <w:rsid w:val="003C452D"/>
    <w:rsid w:val="003C4F4E"/>
    <w:rsid w:val="003C5026"/>
    <w:rsid w:val="003C51A3"/>
    <w:rsid w:val="003C53AB"/>
    <w:rsid w:val="003C57EF"/>
    <w:rsid w:val="003C5981"/>
    <w:rsid w:val="003C5D1D"/>
    <w:rsid w:val="003C5D9E"/>
    <w:rsid w:val="003C66D5"/>
    <w:rsid w:val="003C693B"/>
    <w:rsid w:val="003C6E2B"/>
    <w:rsid w:val="003C6F83"/>
    <w:rsid w:val="003C7AA7"/>
    <w:rsid w:val="003C7E8E"/>
    <w:rsid w:val="003D0B8E"/>
    <w:rsid w:val="003D0D15"/>
    <w:rsid w:val="003D15EE"/>
    <w:rsid w:val="003D1E5F"/>
    <w:rsid w:val="003D1F09"/>
    <w:rsid w:val="003D2D52"/>
    <w:rsid w:val="003D2F65"/>
    <w:rsid w:val="003D37C8"/>
    <w:rsid w:val="003D38CE"/>
    <w:rsid w:val="003D5AA4"/>
    <w:rsid w:val="003D6485"/>
    <w:rsid w:val="003D7159"/>
    <w:rsid w:val="003D77A4"/>
    <w:rsid w:val="003D7B46"/>
    <w:rsid w:val="003D7FE4"/>
    <w:rsid w:val="003E0D8E"/>
    <w:rsid w:val="003E14F0"/>
    <w:rsid w:val="003E174A"/>
    <w:rsid w:val="003E1C03"/>
    <w:rsid w:val="003E2B04"/>
    <w:rsid w:val="003E2BA4"/>
    <w:rsid w:val="003E354B"/>
    <w:rsid w:val="003E35E0"/>
    <w:rsid w:val="003E3E58"/>
    <w:rsid w:val="003E46B2"/>
    <w:rsid w:val="003E4AD2"/>
    <w:rsid w:val="003E4D19"/>
    <w:rsid w:val="003E508F"/>
    <w:rsid w:val="003E50E7"/>
    <w:rsid w:val="003E63BE"/>
    <w:rsid w:val="003E7100"/>
    <w:rsid w:val="003E74B8"/>
    <w:rsid w:val="003F04D1"/>
    <w:rsid w:val="003F05ED"/>
    <w:rsid w:val="003F0970"/>
    <w:rsid w:val="003F0992"/>
    <w:rsid w:val="003F0A95"/>
    <w:rsid w:val="003F0C32"/>
    <w:rsid w:val="003F1467"/>
    <w:rsid w:val="003F18CD"/>
    <w:rsid w:val="003F1AD3"/>
    <w:rsid w:val="003F2572"/>
    <w:rsid w:val="003F2E2C"/>
    <w:rsid w:val="003F2E30"/>
    <w:rsid w:val="003F2FEC"/>
    <w:rsid w:val="003F32F1"/>
    <w:rsid w:val="003F3852"/>
    <w:rsid w:val="003F3F28"/>
    <w:rsid w:val="003F4671"/>
    <w:rsid w:val="003F4BFD"/>
    <w:rsid w:val="003F4D87"/>
    <w:rsid w:val="003F5ADD"/>
    <w:rsid w:val="003F5F19"/>
    <w:rsid w:val="003F6CCD"/>
    <w:rsid w:val="003F7127"/>
    <w:rsid w:val="003F7645"/>
    <w:rsid w:val="003F7F79"/>
    <w:rsid w:val="004018E9"/>
    <w:rsid w:val="004018F0"/>
    <w:rsid w:val="00401DBB"/>
    <w:rsid w:val="004021B4"/>
    <w:rsid w:val="004022C1"/>
    <w:rsid w:val="004052FE"/>
    <w:rsid w:val="00405587"/>
    <w:rsid w:val="00405609"/>
    <w:rsid w:val="004056B1"/>
    <w:rsid w:val="004060D8"/>
    <w:rsid w:val="00406299"/>
    <w:rsid w:val="00406E80"/>
    <w:rsid w:val="00406EBB"/>
    <w:rsid w:val="004071D1"/>
    <w:rsid w:val="0040728D"/>
    <w:rsid w:val="00407ED9"/>
    <w:rsid w:val="004111A2"/>
    <w:rsid w:val="0041164D"/>
    <w:rsid w:val="00411F0D"/>
    <w:rsid w:val="00412540"/>
    <w:rsid w:val="00412C29"/>
    <w:rsid w:val="00412D5B"/>
    <w:rsid w:val="0041334B"/>
    <w:rsid w:val="004133EB"/>
    <w:rsid w:val="00413D80"/>
    <w:rsid w:val="004141EF"/>
    <w:rsid w:val="004142C7"/>
    <w:rsid w:val="00414397"/>
    <w:rsid w:val="00414FAB"/>
    <w:rsid w:val="00415456"/>
    <w:rsid w:val="00415898"/>
    <w:rsid w:val="004158C5"/>
    <w:rsid w:val="00415AE3"/>
    <w:rsid w:val="00415C1E"/>
    <w:rsid w:val="00415C4B"/>
    <w:rsid w:val="00415F51"/>
    <w:rsid w:val="00415F74"/>
    <w:rsid w:val="00420BE3"/>
    <w:rsid w:val="00421227"/>
    <w:rsid w:val="00423956"/>
    <w:rsid w:val="00423B8F"/>
    <w:rsid w:val="00424068"/>
    <w:rsid w:val="004243D4"/>
    <w:rsid w:val="004249AE"/>
    <w:rsid w:val="00425D38"/>
    <w:rsid w:val="004264BA"/>
    <w:rsid w:val="00426673"/>
    <w:rsid w:val="00426C7D"/>
    <w:rsid w:val="00426E5B"/>
    <w:rsid w:val="004277BE"/>
    <w:rsid w:val="004301B3"/>
    <w:rsid w:val="00430FA9"/>
    <w:rsid w:val="004313BD"/>
    <w:rsid w:val="0043145A"/>
    <w:rsid w:val="00431597"/>
    <w:rsid w:val="00431765"/>
    <w:rsid w:val="004319B1"/>
    <w:rsid w:val="00432840"/>
    <w:rsid w:val="00432DF7"/>
    <w:rsid w:val="00433321"/>
    <w:rsid w:val="00433593"/>
    <w:rsid w:val="004338E9"/>
    <w:rsid w:val="00433A55"/>
    <w:rsid w:val="00433B1B"/>
    <w:rsid w:val="0043461E"/>
    <w:rsid w:val="00435515"/>
    <w:rsid w:val="004358E4"/>
    <w:rsid w:val="004368A5"/>
    <w:rsid w:val="00436C8F"/>
    <w:rsid w:val="0043792F"/>
    <w:rsid w:val="004402D1"/>
    <w:rsid w:val="004402E8"/>
    <w:rsid w:val="00440ECE"/>
    <w:rsid w:val="00440F57"/>
    <w:rsid w:val="004412B5"/>
    <w:rsid w:val="004417C6"/>
    <w:rsid w:val="00441EFF"/>
    <w:rsid w:val="004424C7"/>
    <w:rsid w:val="00442C15"/>
    <w:rsid w:val="00442FDF"/>
    <w:rsid w:val="0044363C"/>
    <w:rsid w:val="004437CA"/>
    <w:rsid w:val="00443897"/>
    <w:rsid w:val="00443F67"/>
    <w:rsid w:val="00444BFF"/>
    <w:rsid w:val="00445E05"/>
    <w:rsid w:val="004460D4"/>
    <w:rsid w:val="00447328"/>
    <w:rsid w:val="004474C8"/>
    <w:rsid w:val="00447577"/>
    <w:rsid w:val="00447747"/>
    <w:rsid w:val="00447B80"/>
    <w:rsid w:val="004501AD"/>
    <w:rsid w:val="00450AA8"/>
    <w:rsid w:val="00450FBD"/>
    <w:rsid w:val="00451B8E"/>
    <w:rsid w:val="00451BC0"/>
    <w:rsid w:val="00451FE2"/>
    <w:rsid w:val="004527CE"/>
    <w:rsid w:val="0045367C"/>
    <w:rsid w:val="00453797"/>
    <w:rsid w:val="00453A06"/>
    <w:rsid w:val="00453A8F"/>
    <w:rsid w:val="00454B1B"/>
    <w:rsid w:val="00454B50"/>
    <w:rsid w:val="00455A49"/>
    <w:rsid w:val="004568D3"/>
    <w:rsid w:val="00456963"/>
    <w:rsid w:val="00457004"/>
    <w:rsid w:val="00457A36"/>
    <w:rsid w:val="00457A47"/>
    <w:rsid w:val="00460CB6"/>
    <w:rsid w:val="00460CFE"/>
    <w:rsid w:val="00460E71"/>
    <w:rsid w:val="0046180E"/>
    <w:rsid w:val="00461A83"/>
    <w:rsid w:val="00461A8C"/>
    <w:rsid w:val="00462583"/>
    <w:rsid w:val="00462D8A"/>
    <w:rsid w:val="00463200"/>
    <w:rsid w:val="004634F1"/>
    <w:rsid w:val="00464447"/>
    <w:rsid w:val="00464924"/>
    <w:rsid w:val="0046492F"/>
    <w:rsid w:val="00464C9C"/>
    <w:rsid w:val="004655BE"/>
    <w:rsid w:val="0046573E"/>
    <w:rsid w:val="00465F64"/>
    <w:rsid w:val="004664FE"/>
    <w:rsid w:val="004670FB"/>
    <w:rsid w:val="004671A0"/>
    <w:rsid w:val="004676A3"/>
    <w:rsid w:val="00467906"/>
    <w:rsid w:val="00467EB8"/>
    <w:rsid w:val="0047068E"/>
    <w:rsid w:val="00470CB3"/>
    <w:rsid w:val="00470D86"/>
    <w:rsid w:val="00470E8F"/>
    <w:rsid w:val="00471282"/>
    <w:rsid w:val="00471D30"/>
    <w:rsid w:val="00471D60"/>
    <w:rsid w:val="00471D6C"/>
    <w:rsid w:val="00471D71"/>
    <w:rsid w:val="00471DDB"/>
    <w:rsid w:val="00473620"/>
    <w:rsid w:val="0047399D"/>
    <w:rsid w:val="004740F6"/>
    <w:rsid w:val="0047475C"/>
    <w:rsid w:val="00475A52"/>
    <w:rsid w:val="00476141"/>
    <w:rsid w:val="00476B65"/>
    <w:rsid w:val="0047716A"/>
    <w:rsid w:val="00477875"/>
    <w:rsid w:val="00477938"/>
    <w:rsid w:val="004800A4"/>
    <w:rsid w:val="00480175"/>
    <w:rsid w:val="004806FF"/>
    <w:rsid w:val="00480CA1"/>
    <w:rsid w:val="0048125C"/>
    <w:rsid w:val="00481407"/>
    <w:rsid w:val="00481C28"/>
    <w:rsid w:val="00481F3B"/>
    <w:rsid w:val="0048208C"/>
    <w:rsid w:val="00482C92"/>
    <w:rsid w:val="00483292"/>
    <w:rsid w:val="0048359C"/>
    <w:rsid w:val="00483CF6"/>
    <w:rsid w:val="0048485C"/>
    <w:rsid w:val="00484ADD"/>
    <w:rsid w:val="00484F34"/>
    <w:rsid w:val="00485A46"/>
    <w:rsid w:val="00485DA9"/>
    <w:rsid w:val="004860B0"/>
    <w:rsid w:val="00486D2C"/>
    <w:rsid w:val="00487398"/>
    <w:rsid w:val="00487C6C"/>
    <w:rsid w:val="0049004B"/>
    <w:rsid w:val="0049009A"/>
    <w:rsid w:val="0049037D"/>
    <w:rsid w:val="004903F9"/>
    <w:rsid w:val="00490935"/>
    <w:rsid w:val="00490CA9"/>
    <w:rsid w:val="00490F52"/>
    <w:rsid w:val="00491089"/>
    <w:rsid w:val="00492533"/>
    <w:rsid w:val="00493018"/>
    <w:rsid w:val="0049388B"/>
    <w:rsid w:val="00493DCE"/>
    <w:rsid w:val="00493FB2"/>
    <w:rsid w:val="00495096"/>
    <w:rsid w:val="00495510"/>
    <w:rsid w:val="00495A8F"/>
    <w:rsid w:val="00496900"/>
    <w:rsid w:val="004969D0"/>
    <w:rsid w:val="00497034"/>
    <w:rsid w:val="004972EA"/>
    <w:rsid w:val="0049762B"/>
    <w:rsid w:val="00497D3B"/>
    <w:rsid w:val="004A008A"/>
    <w:rsid w:val="004A015D"/>
    <w:rsid w:val="004A0663"/>
    <w:rsid w:val="004A0AA3"/>
    <w:rsid w:val="004A0E9C"/>
    <w:rsid w:val="004A10F5"/>
    <w:rsid w:val="004A14D3"/>
    <w:rsid w:val="004A17CA"/>
    <w:rsid w:val="004A1BAF"/>
    <w:rsid w:val="004A1C13"/>
    <w:rsid w:val="004A2BDA"/>
    <w:rsid w:val="004A307C"/>
    <w:rsid w:val="004A312C"/>
    <w:rsid w:val="004A3365"/>
    <w:rsid w:val="004A3C54"/>
    <w:rsid w:val="004A4B4B"/>
    <w:rsid w:val="004A4DBE"/>
    <w:rsid w:val="004A4E88"/>
    <w:rsid w:val="004A54A6"/>
    <w:rsid w:val="004A55FF"/>
    <w:rsid w:val="004A61AF"/>
    <w:rsid w:val="004A6F68"/>
    <w:rsid w:val="004A6FC3"/>
    <w:rsid w:val="004A740E"/>
    <w:rsid w:val="004B0E0F"/>
    <w:rsid w:val="004B0E8A"/>
    <w:rsid w:val="004B1187"/>
    <w:rsid w:val="004B1E23"/>
    <w:rsid w:val="004B1FBB"/>
    <w:rsid w:val="004B241F"/>
    <w:rsid w:val="004B24E1"/>
    <w:rsid w:val="004B301F"/>
    <w:rsid w:val="004B3123"/>
    <w:rsid w:val="004B36BD"/>
    <w:rsid w:val="004B36C5"/>
    <w:rsid w:val="004B3C48"/>
    <w:rsid w:val="004B3F48"/>
    <w:rsid w:val="004B44AD"/>
    <w:rsid w:val="004B4558"/>
    <w:rsid w:val="004B511A"/>
    <w:rsid w:val="004B5205"/>
    <w:rsid w:val="004B5222"/>
    <w:rsid w:val="004B5746"/>
    <w:rsid w:val="004B6045"/>
    <w:rsid w:val="004B64A2"/>
    <w:rsid w:val="004B6D8E"/>
    <w:rsid w:val="004B6DE1"/>
    <w:rsid w:val="004B7197"/>
    <w:rsid w:val="004B7623"/>
    <w:rsid w:val="004B7A0D"/>
    <w:rsid w:val="004B7B11"/>
    <w:rsid w:val="004C1528"/>
    <w:rsid w:val="004C1DA0"/>
    <w:rsid w:val="004C2115"/>
    <w:rsid w:val="004C296D"/>
    <w:rsid w:val="004C31BE"/>
    <w:rsid w:val="004C3202"/>
    <w:rsid w:val="004C3DA7"/>
    <w:rsid w:val="004C3E9F"/>
    <w:rsid w:val="004C485B"/>
    <w:rsid w:val="004C49A6"/>
    <w:rsid w:val="004C4C4A"/>
    <w:rsid w:val="004C53A8"/>
    <w:rsid w:val="004C54DD"/>
    <w:rsid w:val="004C5502"/>
    <w:rsid w:val="004C5AA3"/>
    <w:rsid w:val="004C5BA1"/>
    <w:rsid w:val="004C5C6E"/>
    <w:rsid w:val="004C5DE3"/>
    <w:rsid w:val="004C6822"/>
    <w:rsid w:val="004C6A59"/>
    <w:rsid w:val="004C6DAF"/>
    <w:rsid w:val="004C74C2"/>
    <w:rsid w:val="004D02D8"/>
    <w:rsid w:val="004D04D0"/>
    <w:rsid w:val="004D16AC"/>
    <w:rsid w:val="004D1B9B"/>
    <w:rsid w:val="004D232B"/>
    <w:rsid w:val="004D37DC"/>
    <w:rsid w:val="004D4029"/>
    <w:rsid w:val="004D42F3"/>
    <w:rsid w:val="004D4604"/>
    <w:rsid w:val="004D4A93"/>
    <w:rsid w:val="004D51A3"/>
    <w:rsid w:val="004D5696"/>
    <w:rsid w:val="004D5DBD"/>
    <w:rsid w:val="004D6301"/>
    <w:rsid w:val="004D6608"/>
    <w:rsid w:val="004D6622"/>
    <w:rsid w:val="004D6CC1"/>
    <w:rsid w:val="004D7B61"/>
    <w:rsid w:val="004D7FDF"/>
    <w:rsid w:val="004E033C"/>
    <w:rsid w:val="004E0724"/>
    <w:rsid w:val="004E09BD"/>
    <w:rsid w:val="004E115D"/>
    <w:rsid w:val="004E1B98"/>
    <w:rsid w:val="004E2098"/>
    <w:rsid w:val="004E285C"/>
    <w:rsid w:val="004E32AD"/>
    <w:rsid w:val="004E3D1E"/>
    <w:rsid w:val="004E3FAC"/>
    <w:rsid w:val="004E4039"/>
    <w:rsid w:val="004E44D5"/>
    <w:rsid w:val="004E486A"/>
    <w:rsid w:val="004E489A"/>
    <w:rsid w:val="004E57CD"/>
    <w:rsid w:val="004E59EE"/>
    <w:rsid w:val="004E5B22"/>
    <w:rsid w:val="004E5E15"/>
    <w:rsid w:val="004E6102"/>
    <w:rsid w:val="004E6CBD"/>
    <w:rsid w:val="004E7901"/>
    <w:rsid w:val="004E7D86"/>
    <w:rsid w:val="004F0044"/>
    <w:rsid w:val="004F076D"/>
    <w:rsid w:val="004F0985"/>
    <w:rsid w:val="004F0CB1"/>
    <w:rsid w:val="004F0D0D"/>
    <w:rsid w:val="004F1559"/>
    <w:rsid w:val="004F1CB7"/>
    <w:rsid w:val="004F21DD"/>
    <w:rsid w:val="004F2340"/>
    <w:rsid w:val="004F25A7"/>
    <w:rsid w:val="004F26B3"/>
    <w:rsid w:val="004F29ED"/>
    <w:rsid w:val="004F31AB"/>
    <w:rsid w:val="004F3656"/>
    <w:rsid w:val="004F3AB1"/>
    <w:rsid w:val="004F444E"/>
    <w:rsid w:val="004F478C"/>
    <w:rsid w:val="004F4879"/>
    <w:rsid w:val="004F4AF9"/>
    <w:rsid w:val="004F62A0"/>
    <w:rsid w:val="004F647B"/>
    <w:rsid w:val="004F6BF5"/>
    <w:rsid w:val="004F712E"/>
    <w:rsid w:val="004F754D"/>
    <w:rsid w:val="004F75B7"/>
    <w:rsid w:val="004F796C"/>
    <w:rsid w:val="004F7B45"/>
    <w:rsid w:val="00500445"/>
    <w:rsid w:val="005004C1"/>
    <w:rsid w:val="00501533"/>
    <w:rsid w:val="00501D65"/>
    <w:rsid w:val="00501E38"/>
    <w:rsid w:val="0050236D"/>
    <w:rsid w:val="005023E8"/>
    <w:rsid w:val="005028EE"/>
    <w:rsid w:val="00502AE8"/>
    <w:rsid w:val="00502DF9"/>
    <w:rsid w:val="00503C2B"/>
    <w:rsid w:val="00503F19"/>
    <w:rsid w:val="00504187"/>
    <w:rsid w:val="00504258"/>
    <w:rsid w:val="005042CE"/>
    <w:rsid w:val="005048B9"/>
    <w:rsid w:val="00504EC5"/>
    <w:rsid w:val="0050512A"/>
    <w:rsid w:val="005056BC"/>
    <w:rsid w:val="00505D18"/>
    <w:rsid w:val="00506170"/>
    <w:rsid w:val="00506C82"/>
    <w:rsid w:val="00506EC2"/>
    <w:rsid w:val="0050717E"/>
    <w:rsid w:val="00507BF8"/>
    <w:rsid w:val="00510430"/>
    <w:rsid w:val="0051176F"/>
    <w:rsid w:val="005119F3"/>
    <w:rsid w:val="0051209A"/>
    <w:rsid w:val="00512283"/>
    <w:rsid w:val="00512303"/>
    <w:rsid w:val="005123D9"/>
    <w:rsid w:val="00512447"/>
    <w:rsid w:val="0051246C"/>
    <w:rsid w:val="0051281C"/>
    <w:rsid w:val="00512A39"/>
    <w:rsid w:val="00512B0E"/>
    <w:rsid w:val="00512C32"/>
    <w:rsid w:val="00512DEA"/>
    <w:rsid w:val="00513C6F"/>
    <w:rsid w:val="0051402C"/>
    <w:rsid w:val="00515006"/>
    <w:rsid w:val="00515828"/>
    <w:rsid w:val="00516A5F"/>
    <w:rsid w:val="00516C05"/>
    <w:rsid w:val="00516D2D"/>
    <w:rsid w:val="00516E2B"/>
    <w:rsid w:val="00516E5A"/>
    <w:rsid w:val="00516FD0"/>
    <w:rsid w:val="00517121"/>
    <w:rsid w:val="0051719C"/>
    <w:rsid w:val="00517A89"/>
    <w:rsid w:val="005200B5"/>
    <w:rsid w:val="0052017F"/>
    <w:rsid w:val="0052027A"/>
    <w:rsid w:val="005216D1"/>
    <w:rsid w:val="00521BF3"/>
    <w:rsid w:val="0052217C"/>
    <w:rsid w:val="005222E5"/>
    <w:rsid w:val="005225EF"/>
    <w:rsid w:val="005228B9"/>
    <w:rsid w:val="0052295C"/>
    <w:rsid w:val="00522D0B"/>
    <w:rsid w:val="005230C9"/>
    <w:rsid w:val="00523645"/>
    <w:rsid w:val="00523854"/>
    <w:rsid w:val="00523E21"/>
    <w:rsid w:val="00524026"/>
    <w:rsid w:val="005242D1"/>
    <w:rsid w:val="0052478A"/>
    <w:rsid w:val="00524932"/>
    <w:rsid w:val="005249E6"/>
    <w:rsid w:val="00524AA6"/>
    <w:rsid w:val="00524C19"/>
    <w:rsid w:val="005254A3"/>
    <w:rsid w:val="00526BDD"/>
    <w:rsid w:val="00526C45"/>
    <w:rsid w:val="00527647"/>
    <w:rsid w:val="005278EE"/>
    <w:rsid w:val="00527A16"/>
    <w:rsid w:val="00527E71"/>
    <w:rsid w:val="00527E99"/>
    <w:rsid w:val="005300D4"/>
    <w:rsid w:val="00531561"/>
    <w:rsid w:val="00531CFD"/>
    <w:rsid w:val="005322C9"/>
    <w:rsid w:val="00532384"/>
    <w:rsid w:val="00533B6E"/>
    <w:rsid w:val="00533FFB"/>
    <w:rsid w:val="005345C7"/>
    <w:rsid w:val="00534FED"/>
    <w:rsid w:val="00535192"/>
    <w:rsid w:val="005358C9"/>
    <w:rsid w:val="00535EA6"/>
    <w:rsid w:val="00536BA7"/>
    <w:rsid w:val="005374CB"/>
    <w:rsid w:val="00537589"/>
    <w:rsid w:val="00537666"/>
    <w:rsid w:val="00540399"/>
    <w:rsid w:val="00540AD3"/>
    <w:rsid w:val="0054100D"/>
    <w:rsid w:val="00541694"/>
    <w:rsid w:val="00541828"/>
    <w:rsid w:val="00541D2C"/>
    <w:rsid w:val="0054248A"/>
    <w:rsid w:val="005424C5"/>
    <w:rsid w:val="005426E0"/>
    <w:rsid w:val="00542B31"/>
    <w:rsid w:val="00542C07"/>
    <w:rsid w:val="00543809"/>
    <w:rsid w:val="00544050"/>
    <w:rsid w:val="00544249"/>
    <w:rsid w:val="00544737"/>
    <w:rsid w:val="005449E7"/>
    <w:rsid w:val="00544ADC"/>
    <w:rsid w:val="00545A6E"/>
    <w:rsid w:val="00546CFF"/>
    <w:rsid w:val="00546ECD"/>
    <w:rsid w:val="0054763E"/>
    <w:rsid w:val="00547A40"/>
    <w:rsid w:val="00547D48"/>
    <w:rsid w:val="005509E7"/>
    <w:rsid w:val="00550AB8"/>
    <w:rsid w:val="005514B3"/>
    <w:rsid w:val="00551733"/>
    <w:rsid w:val="00551795"/>
    <w:rsid w:val="00551863"/>
    <w:rsid w:val="00551C5C"/>
    <w:rsid w:val="005523C4"/>
    <w:rsid w:val="00552796"/>
    <w:rsid w:val="00552F44"/>
    <w:rsid w:val="005530B4"/>
    <w:rsid w:val="005530CD"/>
    <w:rsid w:val="00553101"/>
    <w:rsid w:val="0055350F"/>
    <w:rsid w:val="0055437C"/>
    <w:rsid w:val="0055441C"/>
    <w:rsid w:val="0055461A"/>
    <w:rsid w:val="00554D76"/>
    <w:rsid w:val="00555229"/>
    <w:rsid w:val="00555448"/>
    <w:rsid w:val="005558D1"/>
    <w:rsid w:val="00555A51"/>
    <w:rsid w:val="00555C41"/>
    <w:rsid w:val="0055610F"/>
    <w:rsid w:val="005561AA"/>
    <w:rsid w:val="00556442"/>
    <w:rsid w:val="00556480"/>
    <w:rsid w:val="00556556"/>
    <w:rsid w:val="00556610"/>
    <w:rsid w:val="00556645"/>
    <w:rsid w:val="00556E47"/>
    <w:rsid w:val="00557D29"/>
    <w:rsid w:val="0056018D"/>
    <w:rsid w:val="0056059A"/>
    <w:rsid w:val="0056091E"/>
    <w:rsid w:val="00560CE3"/>
    <w:rsid w:val="005615CA"/>
    <w:rsid w:val="00561CC1"/>
    <w:rsid w:val="0056204A"/>
    <w:rsid w:val="00562720"/>
    <w:rsid w:val="0056276A"/>
    <w:rsid w:val="005628B6"/>
    <w:rsid w:val="00562F27"/>
    <w:rsid w:val="00563228"/>
    <w:rsid w:val="00563586"/>
    <w:rsid w:val="0056367F"/>
    <w:rsid w:val="00563FF7"/>
    <w:rsid w:val="00564997"/>
    <w:rsid w:val="00564F40"/>
    <w:rsid w:val="005650A8"/>
    <w:rsid w:val="00565926"/>
    <w:rsid w:val="00565AD2"/>
    <w:rsid w:val="00565C1E"/>
    <w:rsid w:val="00565C4E"/>
    <w:rsid w:val="00565DC8"/>
    <w:rsid w:val="00565DF8"/>
    <w:rsid w:val="00565EA9"/>
    <w:rsid w:val="005671DA"/>
    <w:rsid w:val="0056720F"/>
    <w:rsid w:val="00567E1F"/>
    <w:rsid w:val="00567F13"/>
    <w:rsid w:val="005700EF"/>
    <w:rsid w:val="00570296"/>
    <w:rsid w:val="005709F8"/>
    <w:rsid w:val="00570F04"/>
    <w:rsid w:val="00571213"/>
    <w:rsid w:val="00571A91"/>
    <w:rsid w:val="00571D25"/>
    <w:rsid w:val="00571DA6"/>
    <w:rsid w:val="00571E50"/>
    <w:rsid w:val="00573429"/>
    <w:rsid w:val="00573901"/>
    <w:rsid w:val="00573ED9"/>
    <w:rsid w:val="00574468"/>
    <w:rsid w:val="00574F02"/>
    <w:rsid w:val="005750F7"/>
    <w:rsid w:val="00575588"/>
    <w:rsid w:val="00576279"/>
    <w:rsid w:val="0057733B"/>
    <w:rsid w:val="005774D6"/>
    <w:rsid w:val="00577716"/>
    <w:rsid w:val="00577A7A"/>
    <w:rsid w:val="00577D0C"/>
    <w:rsid w:val="00577DC4"/>
    <w:rsid w:val="005800AE"/>
    <w:rsid w:val="005801E4"/>
    <w:rsid w:val="00581894"/>
    <w:rsid w:val="00581C4C"/>
    <w:rsid w:val="00582038"/>
    <w:rsid w:val="00582137"/>
    <w:rsid w:val="00582887"/>
    <w:rsid w:val="00582939"/>
    <w:rsid w:val="00582A39"/>
    <w:rsid w:val="00583B1E"/>
    <w:rsid w:val="00583E50"/>
    <w:rsid w:val="0058460B"/>
    <w:rsid w:val="0058464C"/>
    <w:rsid w:val="005846D2"/>
    <w:rsid w:val="005867B6"/>
    <w:rsid w:val="00586C46"/>
    <w:rsid w:val="00586F10"/>
    <w:rsid w:val="005873B5"/>
    <w:rsid w:val="0058741C"/>
    <w:rsid w:val="0059088D"/>
    <w:rsid w:val="00590908"/>
    <w:rsid w:val="00590987"/>
    <w:rsid w:val="00590AAE"/>
    <w:rsid w:val="00590C41"/>
    <w:rsid w:val="00591216"/>
    <w:rsid w:val="0059122F"/>
    <w:rsid w:val="00591E71"/>
    <w:rsid w:val="00591FA4"/>
    <w:rsid w:val="005923B1"/>
    <w:rsid w:val="00593A8C"/>
    <w:rsid w:val="005941F1"/>
    <w:rsid w:val="0059440F"/>
    <w:rsid w:val="0059484B"/>
    <w:rsid w:val="005959B9"/>
    <w:rsid w:val="00596304"/>
    <w:rsid w:val="00596BEC"/>
    <w:rsid w:val="005972E6"/>
    <w:rsid w:val="00597635"/>
    <w:rsid w:val="005979F5"/>
    <w:rsid w:val="005A096F"/>
    <w:rsid w:val="005A1527"/>
    <w:rsid w:val="005A1E8E"/>
    <w:rsid w:val="005A23B6"/>
    <w:rsid w:val="005A2510"/>
    <w:rsid w:val="005A2F1F"/>
    <w:rsid w:val="005A331C"/>
    <w:rsid w:val="005A3571"/>
    <w:rsid w:val="005A3E27"/>
    <w:rsid w:val="005A3E64"/>
    <w:rsid w:val="005A4388"/>
    <w:rsid w:val="005A477F"/>
    <w:rsid w:val="005A5180"/>
    <w:rsid w:val="005A597B"/>
    <w:rsid w:val="005A5CEB"/>
    <w:rsid w:val="005A62F2"/>
    <w:rsid w:val="005A6847"/>
    <w:rsid w:val="005A6C90"/>
    <w:rsid w:val="005A6D1A"/>
    <w:rsid w:val="005A761E"/>
    <w:rsid w:val="005A7BA4"/>
    <w:rsid w:val="005A7BF6"/>
    <w:rsid w:val="005B1141"/>
    <w:rsid w:val="005B134C"/>
    <w:rsid w:val="005B1A19"/>
    <w:rsid w:val="005B259F"/>
    <w:rsid w:val="005B29AA"/>
    <w:rsid w:val="005B2BF5"/>
    <w:rsid w:val="005B33D2"/>
    <w:rsid w:val="005B3BC7"/>
    <w:rsid w:val="005B4220"/>
    <w:rsid w:val="005B432C"/>
    <w:rsid w:val="005B45E7"/>
    <w:rsid w:val="005B4B93"/>
    <w:rsid w:val="005B504D"/>
    <w:rsid w:val="005B54F8"/>
    <w:rsid w:val="005B624C"/>
    <w:rsid w:val="005B63C5"/>
    <w:rsid w:val="005B65D8"/>
    <w:rsid w:val="005B6B26"/>
    <w:rsid w:val="005C0204"/>
    <w:rsid w:val="005C0509"/>
    <w:rsid w:val="005C0A4F"/>
    <w:rsid w:val="005C12CE"/>
    <w:rsid w:val="005C16F3"/>
    <w:rsid w:val="005C243D"/>
    <w:rsid w:val="005C2565"/>
    <w:rsid w:val="005C3678"/>
    <w:rsid w:val="005C3DD1"/>
    <w:rsid w:val="005C4219"/>
    <w:rsid w:val="005C445B"/>
    <w:rsid w:val="005C4937"/>
    <w:rsid w:val="005C5A0B"/>
    <w:rsid w:val="005C66FA"/>
    <w:rsid w:val="005C68D8"/>
    <w:rsid w:val="005C6A19"/>
    <w:rsid w:val="005C6F90"/>
    <w:rsid w:val="005C6FF6"/>
    <w:rsid w:val="005C7181"/>
    <w:rsid w:val="005C7640"/>
    <w:rsid w:val="005C7A3A"/>
    <w:rsid w:val="005C7B8D"/>
    <w:rsid w:val="005D0375"/>
    <w:rsid w:val="005D0390"/>
    <w:rsid w:val="005D07A9"/>
    <w:rsid w:val="005D1A17"/>
    <w:rsid w:val="005D1C56"/>
    <w:rsid w:val="005D2F15"/>
    <w:rsid w:val="005D3AAA"/>
    <w:rsid w:val="005D3ED8"/>
    <w:rsid w:val="005D3FAA"/>
    <w:rsid w:val="005D4155"/>
    <w:rsid w:val="005D418A"/>
    <w:rsid w:val="005D4560"/>
    <w:rsid w:val="005D45E3"/>
    <w:rsid w:val="005D4CC1"/>
    <w:rsid w:val="005D4F16"/>
    <w:rsid w:val="005D525E"/>
    <w:rsid w:val="005D53D0"/>
    <w:rsid w:val="005D5750"/>
    <w:rsid w:val="005D5799"/>
    <w:rsid w:val="005D590B"/>
    <w:rsid w:val="005D5C9F"/>
    <w:rsid w:val="005D5CCC"/>
    <w:rsid w:val="005D5DB1"/>
    <w:rsid w:val="005D5E13"/>
    <w:rsid w:val="005D61F7"/>
    <w:rsid w:val="005D643A"/>
    <w:rsid w:val="005D64DE"/>
    <w:rsid w:val="005D65A2"/>
    <w:rsid w:val="005D6908"/>
    <w:rsid w:val="005D6E62"/>
    <w:rsid w:val="005D72D6"/>
    <w:rsid w:val="005D78DD"/>
    <w:rsid w:val="005D7B08"/>
    <w:rsid w:val="005D7D28"/>
    <w:rsid w:val="005D7D73"/>
    <w:rsid w:val="005D7FB4"/>
    <w:rsid w:val="005E000A"/>
    <w:rsid w:val="005E0237"/>
    <w:rsid w:val="005E0C29"/>
    <w:rsid w:val="005E0E5C"/>
    <w:rsid w:val="005E11C6"/>
    <w:rsid w:val="005E2102"/>
    <w:rsid w:val="005E2E10"/>
    <w:rsid w:val="005E304B"/>
    <w:rsid w:val="005E41B9"/>
    <w:rsid w:val="005E43A6"/>
    <w:rsid w:val="005E4939"/>
    <w:rsid w:val="005E4E90"/>
    <w:rsid w:val="005E4F23"/>
    <w:rsid w:val="005E55FC"/>
    <w:rsid w:val="005E5AB6"/>
    <w:rsid w:val="005E609B"/>
    <w:rsid w:val="005E6470"/>
    <w:rsid w:val="005E6531"/>
    <w:rsid w:val="005E662F"/>
    <w:rsid w:val="005E6663"/>
    <w:rsid w:val="005E6A8D"/>
    <w:rsid w:val="005E78E1"/>
    <w:rsid w:val="005E7DAB"/>
    <w:rsid w:val="005E7FA2"/>
    <w:rsid w:val="005F03B1"/>
    <w:rsid w:val="005F0660"/>
    <w:rsid w:val="005F157D"/>
    <w:rsid w:val="005F1CA8"/>
    <w:rsid w:val="005F2EA2"/>
    <w:rsid w:val="005F34F5"/>
    <w:rsid w:val="005F390A"/>
    <w:rsid w:val="005F3A13"/>
    <w:rsid w:val="005F3F08"/>
    <w:rsid w:val="005F434B"/>
    <w:rsid w:val="005F4513"/>
    <w:rsid w:val="005F46BE"/>
    <w:rsid w:val="005F4769"/>
    <w:rsid w:val="005F4C5D"/>
    <w:rsid w:val="005F50E1"/>
    <w:rsid w:val="005F5267"/>
    <w:rsid w:val="005F570C"/>
    <w:rsid w:val="005F6440"/>
    <w:rsid w:val="005F7172"/>
    <w:rsid w:val="005F7B05"/>
    <w:rsid w:val="005F7E3C"/>
    <w:rsid w:val="00600251"/>
    <w:rsid w:val="00600AF5"/>
    <w:rsid w:val="0060114A"/>
    <w:rsid w:val="00601596"/>
    <w:rsid w:val="00601846"/>
    <w:rsid w:val="0060203D"/>
    <w:rsid w:val="006024C5"/>
    <w:rsid w:val="00602660"/>
    <w:rsid w:val="0060287D"/>
    <w:rsid w:val="00602F74"/>
    <w:rsid w:val="00602FF2"/>
    <w:rsid w:val="0060359E"/>
    <w:rsid w:val="00603E91"/>
    <w:rsid w:val="0060426E"/>
    <w:rsid w:val="0060438D"/>
    <w:rsid w:val="006043A3"/>
    <w:rsid w:val="0060469D"/>
    <w:rsid w:val="0060595D"/>
    <w:rsid w:val="00605B0A"/>
    <w:rsid w:val="00605B6F"/>
    <w:rsid w:val="006070DB"/>
    <w:rsid w:val="0061026E"/>
    <w:rsid w:val="00610640"/>
    <w:rsid w:val="00610897"/>
    <w:rsid w:val="00610F51"/>
    <w:rsid w:val="00611503"/>
    <w:rsid w:val="006115BD"/>
    <w:rsid w:val="00611728"/>
    <w:rsid w:val="00611B50"/>
    <w:rsid w:val="00612548"/>
    <w:rsid w:val="00612FBF"/>
    <w:rsid w:val="006130CD"/>
    <w:rsid w:val="006138CE"/>
    <w:rsid w:val="00613ADE"/>
    <w:rsid w:val="00613F16"/>
    <w:rsid w:val="00614144"/>
    <w:rsid w:val="00614280"/>
    <w:rsid w:val="006143B3"/>
    <w:rsid w:val="0061520C"/>
    <w:rsid w:val="0061562D"/>
    <w:rsid w:val="00615C5D"/>
    <w:rsid w:val="00615CF4"/>
    <w:rsid w:val="00615E1F"/>
    <w:rsid w:val="00616846"/>
    <w:rsid w:val="00616CDE"/>
    <w:rsid w:val="006171B9"/>
    <w:rsid w:val="006171D4"/>
    <w:rsid w:val="00617C90"/>
    <w:rsid w:val="00621109"/>
    <w:rsid w:val="00621112"/>
    <w:rsid w:val="0062191A"/>
    <w:rsid w:val="00621A3B"/>
    <w:rsid w:val="006220EC"/>
    <w:rsid w:val="006221E0"/>
    <w:rsid w:val="00622258"/>
    <w:rsid w:val="00622773"/>
    <w:rsid w:val="006228AE"/>
    <w:rsid w:val="00622B96"/>
    <w:rsid w:val="006230D2"/>
    <w:rsid w:val="0062370F"/>
    <w:rsid w:val="00623D93"/>
    <w:rsid w:val="006240DC"/>
    <w:rsid w:val="0062459E"/>
    <w:rsid w:val="00624A68"/>
    <w:rsid w:val="00625592"/>
    <w:rsid w:val="00625FA2"/>
    <w:rsid w:val="00626228"/>
    <w:rsid w:val="00626230"/>
    <w:rsid w:val="006263C5"/>
    <w:rsid w:val="00626B44"/>
    <w:rsid w:val="00626CFB"/>
    <w:rsid w:val="0062710E"/>
    <w:rsid w:val="0062745C"/>
    <w:rsid w:val="00627687"/>
    <w:rsid w:val="00627AD7"/>
    <w:rsid w:val="00627B39"/>
    <w:rsid w:val="00627FCB"/>
    <w:rsid w:val="00630011"/>
    <w:rsid w:val="006305CF"/>
    <w:rsid w:val="006307BA"/>
    <w:rsid w:val="006307DA"/>
    <w:rsid w:val="00630C9D"/>
    <w:rsid w:val="00630D24"/>
    <w:rsid w:val="00631302"/>
    <w:rsid w:val="0063132D"/>
    <w:rsid w:val="006313A3"/>
    <w:rsid w:val="00631CDC"/>
    <w:rsid w:val="006333F2"/>
    <w:rsid w:val="00633617"/>
    <w:rsid w:val="00633EAB"/>
    <w:rsid w:val="00634342"/>
    <w:rsid w:val="006343E8"/>
    <w:rsid w:val="00634782"/>
    <w:rsid w:val="00634C0D"/>
    <w:rsid w:val="00634C3A"/>
    <w:rsid w:val="00635B56"/>
    <w:rsid w:val="006363F9"/>
    <w:rsid w:val="0063641A"/>
    <w:rsid w:val="0063646F"/>
    <w:rsid w:val="00636559"/>
    <w:rsid w:val="006368AD"/>
    <w:rsid w:val="006370E4"/>
    <w:rsid w:val="006373FC"/>
    <w:rsid w:val="006405A2"/>
    <w:rsid w:val="006407FC"/>
    <w:rsid w:val="0064096E"/>
    <w:rsid w:val="00640EDA"/>
    <w:rsid w:val="0064248E"/>
    <w:rsid w:val="006429A0"/>
    <w:rsid w:val="00642EB4"/>
    <w:rsid w:val="0064304B"/>
    <w:rsid w:val="0064328F"/>
    <w:rsid w:val="00643A12"/>
    <w:rsid w:val="00643C63"/>
    <w:rsid w:val="0064428A"/>
    <w:rsid w:val="006445AC"/>
    <w:rsid w:val="0064473A"/>
    <w:rsid w:val="006448D2"/>
    <w:rsid w:val="00644B63"/>
    <w:rsid w:val="00645060"/>
    <w:rsid w:val="006450B0"/>
    <w:rsid w:val="00645915"/>
    <w:rsid w:val="00646143"/>
    <w:rsid w:val="006464FD"/>
    <w:rsid w:val="00646CDD"/>
    <w:rsid w:val="00646F23"/>
    <w:rsid w:val="00646FDC"/>
    <w:rsid w:val="00647AD8"/>
    <w:rsid w:val="00647DD9"/>
    <w:rsid w:val="00650189"/>
    <w:rsid w:val="00650621"/>
    <w:rsid w:val="00650B27"/>
    <w:rsid w:val="00651111"/>
    <w:rsid w:val="00651200"/>
    <w:rsid w:val="00651325"/>
    <w:rsid w:val="0065141C"/>
    <w:rsid w:val="00651811"/>
    <w:rsid w:val="00651957"/>
    <w:rsid w:val="00651BDD"/>
    <w:rsid w:val="00651D93"/>
    <w:rsid w:val="00653378"/>
    <w:rsid w:val="00653936"/>
    <w:rsid w:val="006540EF"/>
    <w:rsid w:val="00654B15"/>
    <w:rsid w:val="00654BC1"/>
    <w:rsid w:val="00655634"/>
    <w:rsid w:val="006556F9"/>
    <w:rsid w:val="00655FEA"/>
    <w:rsid w:val="0065632B"/>
    <w:rsid w:val="00656C03"/>
    <w:rsid w:val="00656D1B"/>
    <w:rsid w:val="00656F5E"/>
    <w:rsid w:val="00657069"/>
    <w:rsid w:val="00657167"/>
    <w:rsid w:val="0065720A"/>
    <w:rsid w:val="00657575"/>
    <w:rsid w:val="00657583"/>
    <w:rsid w:val="0065765F"/>
    <w:rsid w:val="00657919"/>
    <w:rsid w:val="0065798E"/>
    <w:rsid w:val="00657D2A"/>
    <w:rsid w:val="00660189"/>
    <w:rsid w:val="006609AF"/>
    <w:rsid w:val="00660A51"/>
    <w:rsid w:val="0066153C"/>
    <w:rsid w:val="006617BF"/>
    <w:rsid w:val="00661AF5"/>
    <w:rsid w:val="00661E97"/>
    <w:rsid w:val="00661EEB"/>
    <w:rsid w:val="00661F24"/>
    <w:rsid w:val="0066257F"/>
    <w:rsid w:val="00662B1D"/>
    <w:rsid w:val="00662B65"/>
    <w:rsid w:val="00662E09"/>
    <w:rsid w:val="006632C3"/>
    <w:rsid w:val="00664194"/>
    <w:rsid w:val="00665B2F"/>
    <w:rsid w:val="00665E8C"/>
    <w:rsid w:val="0066653E"/>
    <w:rsid w:val="00666C21"/>
    <w:rsid w:val="00666F91"/>
    <w:rsid w:val="00670147"/>
    <w:rsid w:val="00670879"/>
    <w:rsid w:val="00670F6C"/>
    <w:rsid w:val="006722E3"/>
    <w:rsid w:val="00673882"/>
    <w:rsid w:val="00673C4F"/>
    <w:rsid w:val="00673DAE"/>
    <w:rsid w:val="00673EA2"/>
    <w:rsid w:val="0067406F"/>
    <w:rsid w:val="00674F5D"/>
    <w:rsid w:val="00675725"/>
    <w:rsid w:val="00675DE4"/>
    <w:rsid w:val="00675EC7"/>
    <w:rsid w:val="00676006"/>
    <w:rsid w:val="00676A79"/>
    <w:rsid w:val="00676B68"/>
    <w:rsid w:val="00677A77"/>
    <w:rsid w:val="00677AB9"/>
    <w:rsid w:val="006801AA"/>
    <w:rsid w:val="00680357"/>
    <w:rsid w:val="00680480"/>
    <w:rsid w:val="006804C9"/>
    <w:rsid w:val="00680678"/>
    <w:rsid w:val="00680C14"/>
    <w:rsid w:val="00680E2B"/>
    <w:rsid w:val="00681445"/>
    <w:rsid w:val="0068192F"/>
    <w:rsid w:val="0068242B"/>
    <w:rsid w:val="00682604"/>
    <w:rsid w:val="00682656"/>
    <w:rsid w:val="0068282A"/>
    <w:rsid w:val="00682832"/>
    <w:rsid w:val="00682A12"/>
    <w:rsid w:val="00683229"/>
    <w:rsid w:val="00683531"/>
    <w:rsid w:val="0068383C"/>
    <w:rsid w:val="00683B49"/>
    <w:rsid w:val="00683BA0"/>
    <w:rsid w:val="00683CC6"/>
    <w:rsid w:val="00684B60"/>
    <w:rsid w:val="00684FD5"/>
    <w:rsid w:val="0068505A"/>
    <w:rsid w:val="006854B5"/>
    <w:rsid w:val="006865D3"/>
    <w:rsid w:val="006866CF"/>
    <w:rsid w:val="00686746"/>
    <w:rsid w:val="00686B2D"/>
    <w:rsid w:val="00686D5B"/>
    <w:rsid w:val="006874E1"/>
    <w:rsid w:val="006875A3"/>
    <w:rsid w:val="006879B9"/>
    <w:rsid w:val="00687B73"/>
    <w:rsid w:val="00687E87"/>
    <w:rsid w:val="00690130"/>
    <w:rsid w:val="00690C5C"/>
    <w:rsid w:val="00691750"/>
    <w:rsid w:val="00691AC2"/>
    <w:rsid w:val="00691E79"/>
    <w:rsid w:val="0069248A"/>
    <w:rsid w:val="00692D98"/>
    <w:rsid w:val="0069350B"/>
    <w:rsid w:val="006939C9"/>
    <w:rsid w:val="00694274"/>
    <w:rsid w:val="00694D5C"/>
    <w:rsid w:val="0069526A"/>
    <w:rsid w:val="0069553D"/>
    <w:rsid w:val="00695DE0"/>
    <w:rsid w:val="00696043"/>
    <w:rsid w:val="0069631D"/>
    <w:rsid w:val="00696797"/>
    <w:rsid w:val="006967E4"/>
    <w:rsid w:val="006973B6"/>
    <w:rsid w:val="006977C9"/>
    <w:rsid w:val="00697B5A"/>
    <w:rsid w:val="00697C8C"/>
    <w:rsid w:val="006A0368"/>
    <w:rsid w:val="006A0459"/>
    <w:rsid w:val="006A0568"/>
    <w:rsid w:val="006A100C"/>
    <w:rsid w:val="006A15B2"/>
    <w:rsid w:val="006A17D7"/>
    <w:rsid w:val="006A1D5B"/>
    <w:rsid w:val="006A2D58"/>
    <w:rsid w:val="006A2DFE"/>
    <w:rsid w:val="006A2FAE"/>
    <w:rsid w:val="006A334F"/>
    <w:rsid w:val="006A3364"/>
    <w:rsid w:val="006A3BE6"/>
    <w:rsid w:val="006A3D6E"/>
    <w:rsid w:val="006A4E90"/>
    <w:rsid w:val="006A502D"/>
    <w:rsid w:val="006A522C"/>
    <w:rsid w:val="006A56BE"/>
    <w:rsid w:val="006A5701"/>
    <w:rsid w:val="006A628B"/>
    <w:rsid w:val="006A6865"/>
    <w:rsid w:val="006A688F"/>
    <w:rsid w:val="006A76A0"/>
    <w:rsid w:val="006A7D50"/>
    <w:rsid w:val="006A7F80"/>
    <w:rsid w:val="006B0703"/>
    <w:rsid w:val="006B07C4"/>
    <w:rsid w:val="006B07E1"/>
    <w:rsid w:val="006B08C6"/>
    <w:rsid w:val="006B0F81"/>
    <w:rsid w:val="006B0FFD"/>
    <w:rsid w:val="006B144E"/>
    <w:rsid w:val="006B1A8E"/>
    <w:rsid w:val="006B2356"/>
    <w:rsid w:val="006B282C"/>
    <w:rsid w:val="006B2845"/>
    <w:rsid w:val="006B3283"/>
    <w:rsid w:val="006B3654"/>
    <w:rsid w:val="006B3656"/>
    <w:rsid w:val="006B3C72"/>
    <w:rsid w:val="006B3CDD"/>
    <w:rsid w:val="006B4472"/>
    <w:rsid w:val="006B48EF"/>
    <w:rsid w:val="006B49BD"/>
    <w:rsid w:val="006B4C7C"/>
    <w:rsid w:val="006B4F73"/>
    <w:rsid w:val="006B5638"/>
    <w:rsid w:val="006B5CD8"/>
    <w:rsid w:val="006B5ECE"/>
    <w:rsid w:val="006B609E"/>
    <w:rsid w:val="006B61AD"/>
    <w:rsid w:val="006B63DC"/>
    <w:rsid w:val="006B6441"/>
    <w:rsid w:val="006B6473"/>
    <w:rsid w:val="006B6B53"/>
    <w:rsid w:val="006B7AE6"/>
    <w:rsid w:val="006B7FE5"/>
    <w:rsid w:val="006C0A74"/>
    <w:rsid w:val="006C0B26"/>
    <w:rsid w:val="006C0D9F"/>
    <w:rsid w:val="006C17E8"/>
    <w:rsid w:val="006C2029"/>
    <w:rsid w:val="006C2170"/>
    <w:rsid w:val="006C2AC5"/>
    <w:rsid w:val="006C2E9B"/>
    <w:rsid w:val="006C32F0"/>
    <w:rsid w:val="006C3C63"/>
    <w:rsid w:val="006C440D"/>
    <w:rsid w:val="006C517D"/>
    <w:rsid w:val="006C51BF"/>
    <w:rsid w:val="006C5348"/>
    <w:rsid w:val="006C66D2"/>
    <w:rsid w:val="006C7139"/>
    <w:rsid w:val="006C737B"/>
    <w:rsid w:val="006C7885"/>
    <w:rsid w:val="006C7CEC"/>
    <w:rsid w:val="006D0246"/>
    <w:rsid w:val="006D02DB"/>
    <w:rsid w:val="006D1A7A"/>
    <w:rsid w:val="006D2068"/>
    <w:rsid w:val="006D2334"/>
    <w:rsid w:val="006D2368"/>
    <w:rsid w:val="006D2370"/>
    <w:rsid w:val="006D2B12"/>
    <w:rsid w:val="006D3ADC"/>
    <w:rsid w:val="006D3C3E"/>
    <w:rsid w:val="006D42CD"/>
    <w:rsid w:val="006D4C4D"/>
    <w:rsid w:val="006D5619"/>
    <w:rsid w:val="006D5A18"/>
    <w:rsid w:val="006D5C99"/>
    <w:rsid w:val="006D6233"/>
    <w:rsid w:val="006D6620"/>
    <w:rsid w:val="006D6698"/>
    <w:rsid w:val="006D6CA0"/>
    <w:rsid w:val="006D6FC0"/>
    <w:rsid w:val="006D7420"/>
    <w:rsid w:val="006D7666"/>
    <w:rsid w:val="006D7839"/>
    <w:rsid w:val="006D799E"/>
    <w:rsid w:val="006D79A6"/>
    <w:rsid w:val="006E0051"/>
    <w:rsid w:val="006E0338"/>
    <w:rsid w:val="006E092E"/>
    <w:rsid w:val="006E0BA5"/>
    <w:rsid w:val="006E0EF8"/>
    <w:rsid w:val="006E120B"/>
    <w:rsid w:val="006E193C"/>
    <w:rsid w:val="006E216A"/>
    <w:rsid w:val="006E2691"/>
    <w:rsid w:val="006E2A9E"/>
    <w:rsid w:val="006E3288"/>
    <w:rsid w:val="006E3305"/>
    <w:rsid w:val="006E38B8"/>
    <w:rsid w:val="006E3F85"/>
    <w:rsid w:val="006E41BB"/>
    <w:rsid w:val="006E4469"/>
    <w:rsid w:val="006E4E31"/>
    <w:rsid w:val="006E51E3"/>
    <w:rsid w:val="006E547B"/>
    <w:rsid w:val="006E57A6"/>
    <w:rsid w:val="006E6068"/>
    <w:rsid w:val="006E631D"/>
    <w:rsid w:val="006E6C07"/>
    <w:rsid w:val="006E702B"/>
    <w:rsid w:val="006E7500"/>
    <w:rsid w:val="006E784C"/>
    <w:rsid w:val="006E7DC5"/>
    <w:rsid w:val="006F00A9"/>
    <w:rsid w:val="006F022A"/>
    <w:rsid w:val="006F02AD"/>
    <w:rsid w:val="006F031C"/>
    <w:rsid w:val="006F04B5"/>
    <w:rsid w:val="006F0535"/>
    <w:rsid w:val="006F09E1"/>
    <w:rsid w:val="006F0A94"/>
    <w:rsid w:val="006F1469"/>
    <w:rsid w:val="006F1985"/>
    <w:rsid w:val="006F1A71"/>
    <w:rsid w:val="006F1C5F"/>
    <w:rsid w:val="006F2C91"/>
    <w:rsid w:val="006F2DE0"/>
    <w:rsid w:val="006F3BAD"/>
    <w:rsid w:val="006F45C3"/>
    <w:rsid w:val="006F46A7"/>
    <w:rsid w:val="006F49DC"/>
    <w:rsid w:val="006F4BF0"/>
    <w:rsid w:val="006F4DE4"/>
    <w:rsid w:val="006F55FC"/>
    <w:rsid w:val="006F5717"/>
    <w:rsid w:val="006F5CDB"/>
    <w:rsid w:val="006F5E5C"/>
    <w:rsid w:val="006F61B2"/>
    <w:rsid w:val="006F6505"/>
    <w:rsid w:val="006F655D"/>
    <w:rsid w:val="007006F4"/>
    <w:rsid w:val="00701967"/>
    <w:rsid w:val="00702B72"/>
    <w:rsid w:val="00703120"/>
    <w:rsid w:val="0070320F"/>
    <w:rsid w:val="00703D25"/>
    <w:rsid w:val="00703DB6"/>
    <w:rsid w:val="00703E4C"/>
    <w:rsid w:val="00704133"/>
    <w:rsid w:val="0070442C"/>
    <w:rsid w:val="00704F4D"/>
    <w:rsid w:val="00705268"/>
    <w:rsid w:val="00705630"/>
    <w:rsid w:val="0070590C"/>
    <w:rsid w:val="00705F76"/>
    <w:rsid w:val="0070696A"/>
    <w:rsid w:val="00706DF2"/>
    <w:rsid w:val="007073A2"/>
    <w:rsid w:val="0070774B"/>
    <w:rsid w:val="00707853"/>
    <w:rsid w:val="00707BCB"/>
    <w:rsid w:val="00710423"/>
    <w:rsid w:val="007118C8"/>
    <w:rsid w:val="007124DA"/>
    <w:rsid w:val="00712AB6"/>
    <w:rsid w:val="00712FCB"/>
    <w:rsid w:val="0071304D"/>
    <w:rsid w:val="00713062"/>
    <w:rsid w:val="007130BB"/>
    <w:rsid w:val="0071319D"/>
    <w:rsid w:val="007133DC"/>
    <w:rsid w:val="0071353C"/>
    <w:rsid w:val="0071371C"/>
    <w:rsid w:val="00714041"/>
    <w:rsid w:val="007140AB"/>
    <w:rsid w:val="007147AB"/>
    <w:rsid w:val="00715094"/>
    <w:rsid w:val="00715FF3"/>
    <w:rsid w:val="00716DE3"/>
    <w:rsid w:val="00717014"/>
    <w:rsid w:val="00717345"/>
    <w:rsid w:val="00717511"/>
    <w:rsid w:val="007176F5"/>
    <w:rsid w:val="00717AB0"/>
    <w:rsid w:val="00717ADA"/>
    <w:rsid w:val="00717EED"/>
    <w:rsid w:val="0072021D"/>
    <w:rsid w:val="0072056C"/>
    <w:rsid w:val="00720E50"/>
    <w:rsid w:val="0072149E"/>
    <w:rsid w:val="00721AB8"/>
    <w:rsid w:val="00721B87"/>
    <w:rsid w:val="00721CD5"/>
    <w:rsid w:val="00722CBC"/>
    <w:rsid w:val="007238DD"/>
    <w:rsid w:val="00723DB7"/>
    <w:rsid w:val="00724109"/>
    <w:rsid w:val="0072421B"/>
    <w:rsid w:val="00724791"/>
    <w:rsid w:val="00725322"/>
    <w:rsid w:val="00725891"/>
    <w:rsid w:val="00726AF3"/>
    <w:rsid w:val="00726B83"/>
    <w:rsid w:val="00726BA9"/>
    <w:rsid w:val="00726C71"/>
    <w:rsid w:val="0072781A"/>
    <w:rsid w:val="00727A01"/>
    <w:rsid w:val="00727BC5"/>
    <w:rsid w:val="00730176"/>
    <w:rsid w:val="007302FE"/>
    <w:rsid w:val="007303AC"/>
    <w:rsid w:val="007309AD"/>
    <w:rsid w:val="007311D0"/>
    <w:rsid w:val="00731C8D"/>
    <w:rsid w:val="00732822"/>
    <w:rsid w:val="0073297E"/>
    <w:rsid w:val="00732B6D"/>
    <w:rsid w:val="00732E6C"/>
    <w:rsid w:val="00732E80"/>
    <w:rsid w:val="00733454"/>
    <w:rsid w:val="007334AB"/>
    <w:rsid w:val="00733892"/>
    <w:rsid w:val="00733B33"/>
    <w:rsid w:val="00733CDC"/>
    <w:rsid w:val="00733E19"/>
    <w:rsid w:val="007341EB"/>
    <w:rsid w:val="0073426D"/>
    <w:rsid w:val="00734B24"/>
    <w:rsid w:val="007354BA"/>
    <w:rsid w:val="00735AD5"/>
    <w:rsid w:val="00736483"/>
    <w:rsid w:val="007366A7"/>
    <w:rsid w:val="00736B57"/>
    <w:rsid w:val="007375D7"/>
    <w:rsid w:val="0073778C"/>
    <w:rsid w:val="00740311"/>
    <w:rsid w:val="007403E6"/>
    <w:rsid w:val="007404B2"/>
    <w:rsid w:val="007409D9"/>
    <w:rsid w:val="00740C43"/>
    <w:rsid w:val="00740F6E"/>
    <w:rsid w:val="007410B6"/>
    <w:rsid w:val="0074154B"/>
    <w:rsid w:val="00741620"/>
    <w:rsid w:val="00741E8F"/>
    <w:rsid w:val="0074238E"/>
    <w:rsid w:val="00742472"/>
    <w:rsid w:val="007428A7"/>
    <w:rsid w:val="00742997"/>
    <w:rsid w:val="007429C1"/>
    <w:rsid w:val="00742E37"/>
    <w:rsid w:val="007435F2"/>
    <w:rsid w:val="007437E1"/>
    <w:rsid w:val="00743880"/>
    <w:rsid w:val="00743B4A"/>
    <w:rsid w:val="0074456E"/>
    <w:rsid w:val="0074488D"/>
    <w:rsid w:val="00744DFE"/>
    <w:rsid w:val="007454F6"/>
    <w:rsid w:val="007455A4"/>
    <w:rsid w:val="00745FDB"/>
    <w:rsid w:val="00746079"/>
    <w:rsid w:val="00746243"/>
    <w:rsid w:val="007468B9"/>
    <w:rsid w:val="00746A67"/>
    <w:rsid w:val="0075039A"/>
    <w:rsid w:val="00750D68"/>
    <w:rsid w:val="00750EC1"/>
    <w:rsid w:val="007510A9"/>
    <w:rsid w:val="0075145C"/>
    <w:rsid w:val="0075169A"/>
    <w:rsid w:val="007520C8"/>
    <w:rsid w:val="00752509"/>
    <w:rsid w:val="00752668"/>
    <w:rsid w:val="007527EA"/>
    <w:rsid w:val="00752A7A"/>
    <w:rsid w:val="00752B39"/>
    <w:rsid w:val="00753311"/>
    <w:rsid w:val="0075382C"/>
    <w:rsid w:val="00753A09"/>
    <w:rsid w:val="0075459E"/>
    <w:rsid w:val="007548B4"/>
    <w:rsid w:val="00754B19"/>
    <w:rsid w:val="00754F11"/>
    <w:rsid w:val="00755205"/>
    <w:rsid w:val="00755DF6"/>
    <w:rsid w:val="00755F70"/>
    <w:rsid w:val="00756313"/>
    <w:rsid w:val="007563CE"/>
    <w:rsid w:val="007563FD"/>
    <w:rsid w:val="007566B7"/>
    <w:rsid w:val="00756C0F"/>
    <w:rsid w:val="00756C39"/>
    <w:rsid w:val="00756DCB"/>
    <w:rsid w:val="00756ED7"/>
    <w:rsid w:val="00756FFA"/>
    <w:rsid w:val="0075728D"/>
    <w:rsid w:val="0075738D"/>
    <w:rsid w:val="00757C9F"/>
    <w:rsid w:val="00757E88"/>
    <w:rsid w:val="00760131"/>
    <w:rsid w:val="00760608"/>
    <w:rsid w:val="00760AE5"/>
    <w:rsid w:val="00761048"/>
    <w:rsid w:val="007612DC"/>
    <w:rsid w:val="00761402"/>
    <w:rsid w:val="007615E5"/>
    <w:rsid w:val="0076174D"/>
    <w:rsid w:val="007619C2"/>
    <w:rsid w:val="00761FD1"/>
    <w:rsid w:val="00761FEA"/>
    <w:rsid w:val="00762665"/>
    <w:rsid w:val="007633BC"/>
    <w:rsid w:val="00763479"/>
    <w:rsid w:val="007635CC"/>
    <w:rsid w:val="007637D0"/>
    <w:rsid w:val="00763896"/>
    <w:rsid w:val="0076412C"/>
    <w:rsid w:val="007646C0"/>
    <w:rsid w:val="00764C71"/>
    <w:rsid w:val="00765260"/>
    <w:rsid w:val="00765423"/>
    <w:rsid w:val="00765A51"/>
    <w:rsid w:val="00765B01"/>
    <w:rsid w:val="00765B76"/>
    <w:rsid w:val="00765BAA"/>
    <w:rsid w:val="00766032"/>
    <w:rsid w:val="00766057"/>
    <w:rsid w:val="0076611A"/>
    <w:rsid w:val="00766EFD"/>
    <w:rsid w:val="00767140"/>
    <w:rsid w:val="007673B9"/>
    <w:rsid w:val="00767457"/>
    <w:rsid w:val="00767877"/>
    <w:rsid w:val="0077040A"/>
    <w:rsid w:val="00770B87"/>
    <w:rsid w:val="00771462"/>
    <w:rsid w:val="0077174A"/>
    <w:rsid w:val="00771869"/>
    <w:rsid w:val="00772058"/>
    <w:rsid w:val="00772BF8"/>
    <w:rsid w:val="00772E6D"/>
    <w:rsid w:val="00774194"/>
    <w:rsid w:val="00774BC8"/>
    <w:rsid w:val="0077584C"/>
    <w:rsid w:val="007759F9"/>
    <w:rsid w:val="00775CCB"/>
    <w:rsid w:val="00775D75"/>
    <w:rsid w:val="00776060"/>
    <w:rsid w:val="00776454"/>
    <w:rsid w:val="00776A85"/>
    <w:rsid w:val="00776E19"/>
    <w:rsid w:val="007770B1"/>
    <w:rsid w:val="0077758C"/>
    <w:rsid w:val="0077766E"/>
    <w:rsid w:val="00777A48"/>
    <w:rsid w:val="00777FA2"/>
    <w:rsid w:val="00780079"/>
    <w:rsid w:val="00780B88"/>
    <w:rsid w:val="00781C28"/>
    <w:rsid w:val="00782176"/>
    <w:rsid w:val="00782865"/>
    <w:rsid w:val="00783677"/>
    <w:rsid w:val="00783712"/>
    <w:rsid w:val="00783BFD"/>
    <w:rsid w:val="00784364"/>
    <w:rsid w:val="0078455C"/>
    <w:rsid w:val="007846A0"/>
    <w:rsid w:val="00785FD0"/>
    <w:rsid w:val="007861BC"/>
    <w:rsid w:val="007863CC"/>
    <w:rsid w:val="007869CF"/>
    <w:rsid w:val="00786D52"/>
    <w:rsid w:val="00786FDF"/>
    <w:rsid w:val="00786FE8"/>
    <w:rsid w:val="007871A7"/>
    <w:rsid w:val="00787CCB"/>
    <w:rsid w:val="00790368"/>
    <w:rsid w:val="00790D92"/>
    <w:rsid w:val="00790E80"/>
    <w:rsid w:val="007915ED"/>
    <w:rsid w:val="007918CC"/>
    <w:rsid w:val="00792384"/>
    <w:rsid w:val="007923F0"/>
    <w:rsid w:val="00792A82"/>
    <w:rsid w:val="007936A4"/>
    <w:rsid w:val="007937F1"/>
    <w:rsid w:val="007939C5"/>
    <w:rsid w:val="00793B4B"/>
    <w:rsid w:val="0079413F"/>
    <w:rsid w:val="007946E5"/>
    <w:rsid w:val="00794779"/>
    <w:rsid w:val="00794D64"/>
    <w:rsid w:val="00794E54"/>
    <w:rsid w:val="00795A50"/>
    <w:rsid w:val="00796852"/>
    <w:rsid w:val="00796AA8"/>
    <w:rsid w:val="00796E2F"/>
    <w:rsid w:val="00797050"/>
    <w:rsid w:val="007975D3"/>
    <w:rsid w:val="00797AB0"/>
    <w:rsid w:val="007A02A6"/>
    <w:rsid w:val="007A0313"/>
    <w:rsid w:val="007A052E"/>
    <w:rsid w:val="007A0AFC"/>
    <w:rsid w:val="007A0D31"/>
    <w:rsid w:val="007A0D70"/>
    <w:rsid w:val="007A11D0"/>
    <w:rsid w:val="007A199E"/>
    <w:rsid w:val="007A2F93"/>
    <w:rsid w:val="007A4C48"/>
    <w:rsid w:val="007A4DC3"/>
    <w:rsid w:val="007A4E32"/>
    <w:rsid w:val="007A4FCF"/>
    <w:rsid w:val="007A5E1E"/>
    <w:rsid w:val="007A626A"/>
    <w:rsid w:val="007A65A2"/>
    <w:rsid w:val="007A6BC9"/>
    <w:rsid w:val="007A6D7E"/>
    <w:rsid w:val="007A77FD"/>
    <w:rsid w:val="007A7DA6"/>
    <w:rsid w:val="007B00AC"/>
    <w:rsid w:val="007B0A7A"/>
    <w:rsid w:val="007B1854"/>
    <w:rsid w:val="007B1AF9"/>
    <w:rsid w:val="007B22B0"/>
    <w:rsid w:val="007B268A"/>
    <w:rsid w:val="007B37DF"/>
    <w:rsid w:val="007B38E7"/>
    <w:rsid w:val="007B394B"/>
    <w:rsid w:val="007B3C18"/>
    <w:rsid w:val="007B47BC"/>
    <w:rsid w:val="007B4DF2"/>
    <w:rsid w:val="007B5212"/>
    <w:rsid w:val="007B5AC1"/>
    <w:rsid w:val="007B5F4A"/>
    <w:rsid w:val="007B6472"/>
    <w:rsid w:val="007B66F7"/>
    <w:rsid w:val="007B67E3"/>
    <w:rsid w:val="007B6A79"/>
    <w:rsid w:val="007B6B28"/>
    <w:rsid w:val="007B6C84"/>
    <w:rsid w:val="007B7ECA"/>
    <w:rsid w:val="007C0489"/>
    <w:rsid w:val="007C07D7"/>
    <w:rsid w:val="007C0E4F"/>
    <w:rsid w:val="007C16A3"/>
    <w:rsid w:val="007C1D3C"/>
    <w:rsid w:val="007C2485"/>
    <w:rsid w:val="007C2540"/>
    <w:rsid w:val="007C29E1"/>
    <w:rsid w:val="007C2BFA"/>
    <w:rsid w:val="007C3674"/>
    <w:rsid w:val="007C381C"/>
    <w:rsid w:val="007C3DF1"/>
    <w:rsid w:val="007C4CE5"/>
    <w:rsid w:val="007C513B"/>
    <w:rsid w:val="007C5148"/>
    <w:rsid w:val="007C6354"/>
    <w:rsid w:val="007C661F"/>
    <w:rsid w:val="007C6856"/>
    <w:rsid w:val="007C7273"/>
    <w:rsid w:val="007C794C"/>
    <w:rsid w:val="007C7E4B"/>
    <w:rsid w:val="007D0445"/>
    <w:rsid w:val="007D0AF7"/>
    <w:rsid w:val="007D1221"/>
    <w:rsid w:val="007D1584"/>
    <w:rsid w:val="007D1AF7"/>
    <w:rsid w:val="007D27C9"/>
    <w:rsid w:val="007D2A13"/>
    <w:rsid w:val="007D2B94"/>
    <w:rsid w:val="007D3C2E"/>
    <w:rsid w:val="007D3D7A"/>
    <w:rsid w:val="007D41E9"/>
    <w:rsid w:val="007D462D"/>
    <w:rsid w:val="007D4775"/>
    <w:rsid w:val="007D4A31"/>
    <w:rsid w:val="007D578E"/>
    <w:rsid w:val="007D5CA4"/>
    <w:rsid w:val="007D603B"/>
    <w:rsid w:val="007D6501"/>
    <w:rsid w:val="007D67FF"/>
    <w:rsid w:val="007D7DC6"/>
    <w:rsid w:val="007D7F2B"/>
    <w:rsid w:val="007E0826"/>
    <w:rsid w:val="007E12F4"/>
    <w:rsid w:val="007E136B"/>
    <w:rsid w:val="007E1EA5"/>
    <w:rsid w:val="007E2C09"/>
    <w:rsid w:val="007E37BA"/>
    <w:rsid w:val="007E3866"/>
    <w:rsid w:val="007E3A7B"/>
    <w:rsid w:val="007E40B5"/>
    <w:rsid w:val="007E453C"/>
    <w:rsid w:val="007E60BE"/>
    <w:rsid w:val="007E649E"/>
    <w:rsid w:val="007E686C"/>
    <w:rsid w:val="007E6DCD"/>
    <w:rsid w:val="007E78C5"/>
    <w:rsid w:val="007E7C39"/>
    <w:rsid w:val="007F0B09"/>
    <w:rsid w:val="007F0F6C"/>
    <w:rsid w:val="007F14D3"/>
    <w:rsid w:val="007F1D50"/>
    <w:rsid w:val="007F2268"/>
    <w:rsid w:val="007F39AF"/>
    <w:rsid w:val="007F402E"/>
    <w:rsid w:val="007F4186"/>
    <w:rsid w:val="007F4852"/>
    <w:rsid w:val="007F4B4A"/>
    <w:rsid w:val="007F4BAB"/>
    <w:rsid w:val="007F575C"/>
    <w:rsid w:val="007F587C"/>
    <w:rsid w:val="007F58F7"/>
    <w:rsid w:val="007F7308"/>
    <w:rsid w:val="007F7A26"/>
    <w:rsid w:val="007F7AD4"/>
    <w:rsid w:val="00800726"/>
    <w:rsid w:val="00800C8B"/>
    <w:rsid w:val="00800EA3"/>
    <w:rsid w:val="008015E6"/>
    <w:rsid w:val="00801F82"/>
    <w:rsid w:val="00802BFD"/>
    <w:rsid w:val="008042CC"/>
    <w:rsid w:val="008042F8"/>
    <w:rsid w:val="008048FB"/>
    <w:rsid w:val="00804E6D"/>
    <w:rsid w:val="00805915"/>
    <w:rsid w:val="00805A32"/>
    <w:rsid w:val="0080641B"/>
    <w:rsid w:val="0080658D"/>
    <w:rsid w:val="00806B2E"/>
    <w:rsid w:val="00807607"/>
    <w:rsid w:val="00807658"/>
    <w:rsid w:val="00807EA9"/>
    <w:rsid w:val="008103AA"/>
    <w:rsid w:val="00810438"/>
    <w:rsid w:val="008104D7"/>
    <w:rsid w:val="00810697"/>
    <w:rsid w:val="00810911"/>
    <w:rsid w:val="00810A1E"/>
    <w:rsid w:val="008110D4"/>
    <w:rsid w:val="00811A75"/>
    <w:rsid w:val="00811D3D"/>
    <w:rsid w:val="0081296D"/>
    <w:rsid w:val="00812DF3"/>
    <w:rsid w:val="00813308"/>
    <w:rsid w:val="0081330B"/>
    <w:rsid w:val="00813778"/>
    <w:rsid w:val="00813B78"/>
    <w:rsid w:val="0081463E"/>
    <w:rsid w:val="00814A92"/>
    <w:rsid w:val="00814B76"/>
    <w:rsid w:val="0081522E"/>
    <w:rsid w:val="00815237"/>
    <w:rsid w:val="00815B50"/>
    <w:rsid w:val="00815C30"/>
    <w:rsid w:val="00815EA4"/>
    <w:rsid w:val="00816101"/>
    <w:rsid w:val="00816174"/>
    <w:rsid w:val="00816240"/>
    <w:rsid w:val="00816F39"/>
    <w:rsid w:val="0081754B"/>
    <w:rsid w:val="00817CA3"/>
    <w:rsid w:val="00820A19"/>
    <w:rsid w:val="00821253"/>
    <w:rsid w:val="0082133C"/>
    <w:rsid w:val="00821723"/>
    <w:rsid w:val="00822503"/>
    <w:rsid w:val="0082260F"/>
    <w:rsid w:val="0082273A"/>
    <w:rsid w:val="0082274E"/>
    <w:rsid w:val="00822A67"/>
    <w:rsid w:val="00822B47"/>
    <w:rsid w:val="00823010"/>
    <w:rsid w:val="0082335B"/>
    <w:rsid w:val="008237B0"/>
    <w:rsid w:val="00823B42"/>
    <w:rsid w:val="00823EC7"/>
    <w:rsid w:val="00824050"/>
    <w:rsid w:val="00824085"/>
    <w:rsid w:val="0082589A"/>
    <w:rsid w:val="008258B2"/>
    <w:rsid w:val="00825A62"/>
    <w:rsid w:val="00825D00"/>
    <w:rsid w:val="00825E73"/>
    <w:rsid w:val="00825F0F"/>
    <w:rsid w:val="0082684B"/>
    <w:rsid w:val="00826FBD"/>
    <w:rsid w:val="00827027"/>
    <w:rsid w:val="008270D5"/>
    <w:rsid w:val="0082737A"/>
    <w:rsid w:val="008274C1"/>
    <w:rsid w:val="00827CC9"/>
    <w:rsid w:val="00830524"/>
    <w:rsid w:val="00830722"/>
    <w:rsid w:val="0083073C"/>
    <w:rsid w:val="008309B3"/>
    <w:rsid w:val="00830A7B"/>
    <w:rsid w:val="0083110A"/>
    <w:rsid w:val="00831527"/>
    <w:rsid w:val="00831735"/>
    <w:rsid w:val="0083281A"/>
    <w:rsid w:val="008328CF"/>
    <w:rsid w:val="00832D4B"/>
    <w:rsid w:val="00833537"/>
    <w:rsid w:val="00833653"/>
    <w:rsid w:val="008337BC"/>
    <w:rsid w:val="00833D3D"/>
    <w:rsid w:val="00834161"/>
    <w:rsid w:val="00834492"/>
    <w:rsid w:val="008345EA"/>
    <w:rsid w:val="008346B8"/>
    <w:rsid w:val="008355A6"/>
    <w:rsid w:val="0083574E"/>
    <w:rsid w:val="00836BDA"/>
    <w:rsid w:val="00836FCC"/>
    <w:rsid w:val="00837018"/>
    <w:rsid w:val="00837640"/>
    <w:rsid w:val="008377C4"/>
    <w:rsid w:val="008377F8"/>
    <w:rsid w:val="00837BCD"/>
    <w:rsid w:val="00840079"/>
    <w:rsid w:val="00840265"/>
    <w:rsid w:val="008407AC"/>
    <w:rsid w:val="008413F3"/>
    <w:rsid w:val="008416A1"/>
    <w:rsid w:val="00841797"/>
    <w:rsid w:val="00841956"/>
    <w:rsid w:val="00842B01"/>
    <w:rsid w:val="0084330C"/>
    <w:rsid w:val="008434FD"/>
    <w:rsid w:val="00843B46"/>
    <w:rsid w:val="00843D49"/>
    <w:rsid w:val="0084401A"/>
    <w:rsid w:val="008446CC"/>
    <w:rsid w:val="008448C3"/>
    <w:rsid w:val="00845911"/>
    <w:rsid w:val="00845B30"/>
    <w:rsid w:val="00845E85"/>
    <w:rsid w:val="00846269"/>
    <w:rsid w:val="0084650B"/>
    <w:rsid w:val="00846A41"/>
    <w:rsid w:val="00846FCA"/>
    <w:rsid w:val="0084731E"/>
    <w:rsid w:val="008477FE"/>
    <w:rsid w:val="00850B35"/>
    <w:rsid w:val="00850F2C"/>
    <w:rsid w:val="008510EB"/>
    <w:rsid w:val="00851B1F"/>
    <w:rsid w:val="008522E5"/>
    <w:rsid w:val="00852413"/>
    <w:rsid w:val="008526E9"/>
    <w:rsid w:val="0085274B"/>
    <w:rsid w:val="00852D33"/>
    <w:rsid w:val="00853241"/>
    <w:rsid w:val="0085343F"/>
    <w:rsid w:val="00853E6F"/>
    <w:rsid w:val="0085423C"/>
    <w:rsid w:val="00855D79"/>
    <w:rsid w:val="00855F6D"/>
    <w:rsid w:val="00856269"/>
    <w:rsid w:val="0085636F"/>
    <w:rsid w:val="0085642C"/>
    <w:rsid w:val="0085644D"/>
    <w:rsid w:val="00856C80"/>
    <w:rsid w:val="00856C85"/>
    <w:rsid w:val="008571F6"/>
    <w:rsid w:val="0085790F"/>
    <w:rsid w:val="00857929"/>
    <w:rsid w:val="008602D7"/>
    <w:rsid w:val="008609FD"/>
    <w:rsid w:val="00860A5E"/>
    <w:rsid w:val="00860B9A"/>
    <w:rsid w:val="00860E4B"/>
    <w:rsid w:val="00860F94"/>
    <w:rsid w:val="008611B6"/>
    <w:rsid w:val="00861ADB"/>
    <w:rsid w:val="00862948"/>
    <w:rsid w:val="00862A14"/>
    <w:rsid w:val="008630B3"/>
    <w:rsid w:val="008642C2"/>
    <w:rsid w:val="0086462F"/>
    <w:rsid w:val="00864D4C"/>
    <w:rsid w:val="008656C8"/>
    <w:rsid w:val="00865B7D"/>
    <w:rsid w:val="00865D5F"/>
    <w:rsid w:val="0086600F"/>
    <w:rsid w:val="008664D7"/>
    <w:rsid w:val="00866CBB"/>
    <w:rsid w:val="00866D66"/>
    <w:rsid w:val="008679A9"/>
    <w:rsid w:val="00870386"/>
    <w:rsid w:val="00870643"/>
    <w:rsid w:val="008718BE"/>
    <w:rsid w:val="00871B43"/>
    <w:rsid w:val="00872480"/>
    <w:rsid w:val="0087256B"/>
    <w:rsid w:val="00872B53"/>
    <w:rsid w:val="00874508"/>
    <w:rsid w:val="008745D0"/>
    <w:rsid w:val="00874D44"/>
    <w:rsid w:val="00874FCC"/>
    <w:rsid w:val="00874FCE"/>
    <w:rsid w:val="00875780"/>
    <w:rsid w:val="008757AB"/>
    <w:rsid w:val="00875910"/>
    <w:rsid w:val="008759F2"/>
    <w:rsid w:val="00876629"/>
    <w:rsid w:val="00876792"/>
    <w:rsid w:val="008768BD"/>
    <w:rsid w:val="00876E16"/>
    <w:rsid w:val="0087722B"/>
    <w:rsid w:val="008778AF"/>
    <w:rsid w:val="00877A56"/>
    <w:rsid w:val="00877D88"/>
    <w:rsid w:val="00877E21"/>
    <w:rsid w:val="008806C9"/>
    <w:rsid w:val="00880794"/>
    <w:rsid w:val="00881357"/>
    <w:rsid w:val="00881525"/>
    <w:rsid w:val="00881552"/>
    <w:rsid w:val="00881DD0"/>
    <w:rsid w:val="00881DE7"/>
    <w:rsid w:val="0088202C"/>
    <w:rsid w:val="00882236"/>
    <w:rsid w:val="00882262"/>
    <w:rsid w:val="0088237A"/>
    <w:rsid w:val="00882778"/>
    <w:rsid w:val="0088285C"/>
    <w:rsid w:val="008828EE"/>
    <w:rsid w:val="008845A7"/>
    <w:rsid w:val="008853E6"/>
    <w:rsid w:val="008857D9"/>
    <w:rsid w:val="00886A2C"/>
    <w:rsid w:val="0088719B"/>
    <w:rsid w:val="008876CA"/>
    <w:rsid w:val="00887945"/>
    <w:rsid w:val="00890822"/>
    <w:rsid w:val="00890DC3"/>
    <w:rsid w:val="00890FEF"/>
    <w:rsid w:val="008916B5"/>
    <w:rsid w:val="008926A8"/>
    <w:rsid w:val="008930D0"/>
    <w:rsid w:val="00893236"/>
    <w:rsid w:val="00893318"/>
    <w:rsid w:val="00893501"/>
    <w:rsid w:val="00893D0E"/>
    <w:rsid w:val="00893E33"/>
    <w:rsid w:val="00894185"/>
    <w:rsid w:val="008947C8"/>
    <w:rsid w:val="00894B67"/>
    <w:rsid w:val="00894BAB"/>
    <w:rsid w:val="00894FBB"/>
    <w:rsid w:val="00895AA3"/>
    <w:rsid w:val="00895D6D"/>
    <w:rsid w:val="00895D84"/>
    <w:rsid w:val="00895F0A"/>
    <w:rsid w:val="00895FEE"/>
    <w:rsid w:val="008960FD"/>
    <w:rsid w:val="0089614A"/>
    <w:rsid w:val="008968D6"/>
    <w:rsid w:val="00896CFB"/>
    <w:rsid w:val="008978C4"/>
    <w:rsid w:val="00897A81"/>
    <w:rsid w:val="008A0F8B"/>
    <w:rsid w:val="008A0FA1"/>
    <w:rsid w:val="008A1185"/>
    <w:rsid w:val="008A1CFF"/>
    <w:rsid w:val="008A1D9E"/>
    <w:rsid w:val="008A2127"/>
    <w:rsid w:val="008A2746"/>
    <w:rsid w:val="008A2B8B"/>
    <w:rsid w:val="008A30E6"/>
    <w:rsid w:val="008A32B4"/>
    <w:rsid w:val="008A362E"/>
    <w:rsid w:val="008A38F1"/>
    <w:rsid w:val="008A3AC3"/>
    <w:rsid w:val="008A3C80"/>
    <w:rsid w:val="008A4A08"/>
    <w:rsid w:val="008A4C3F"/>
    <w:rsid w:val="008A50A3"/>
    <w:rsid w:val="008A50C6"/>
    <w:rsid w:val="008A5389"/>
    <w:rsid w:val="008A5B26"/>
    <w:rsid w:val="008A5B96"/>
    <w:rsid w:val="008A6201"/>
    <w:rsid w:val="008A69E5"/>
    <w:rsid w:val="008A74F5"/>
    <w:rsid w:val="008B01EA"/>
    <w:rsid w:val="008B031D"/>
    <w:rsid w:val="008B0889"/>
    <w:rsid w:val="008B1498"/>
    <w:rsid w:val="008B14B6"/>
    <w:rsid w:val="008B187D"/>
    <w:rsid w:val="008B1D42"/>
    <w:rsid w:val="008B2174"/>
    <w:rsid w:val="008B272F"/>
    <w:rsid w:val="008B2C45"/>
    <w:rsid w:val="008B2D95"/>
    <w:rsid w:val="008B40C4"/>
    <w:rsid w:val="008B45BC"/>
    <w:rsid w:val="008B4772"/>
    <w:rsid w:val="008B47B7"/>
    <w:rsid w:val="008B47DC"/>
    <w:rsid w:val="008B5770"/>
    <w:rsid w:val="008B59C6"/>
    <w:rsid w:val="008B59F7"/>
    <w:rsid w:val="008B60CF"/>
    <w:rsid w:val="008B6553"/>
    <w:rsid w:val="008B6805"/>
    <w:rsid w:val="008B6C1E"/>
    <w:rsid w:val="008B766C"/>
    <w:rsid w:val="008B7B7B"/>
    <w:rsid w:val="008C040B"/>
    <w:rsid w:val="008C0779"/>
    <w:rsid w:val="008C0917"/>
    <w:rsid w:val="008C0E38"/>
    <w:rsid w:val="008C1428"/>
    <w:rsid w:val="008C1E5B"/>
    <w:rsid w:val="008C2125"/>
    <w:rsid w:val="008C24C0"/>
    <w:rsid w:val="008C3602"/>
    <w:rsid w:val="008C36DE"/>
    <w:rsid w:val="008C3C2F"/>
    <w:rsid w:val="008C3C77"/>
    <w:rsid w:val="008C3ECB"/>
    <w:rsid w:val="008C4D74"/>
    <w:rsid w:val="008C53B8"/>
    <w:rsid w:val="008C5664"/>
    <w:rsid w:val="008C5ED0"/>
    <w:rsid w:val="008C6637"/>
    <w:rsid w:val="008C6774"/>
    <w:rsid w:val="008C759A"/>
    <w:rsid w:val="008C7788"/>
    <w:rsid w:val="008C7938"/>
    <w:rsid w:val="008C7C98"/>
    <w:rsid w:val="008C7CF9"/>
    <w:rsid w:val="008D017F"/>
    <w:rsid w:val="008D09A4"/>
    <w:rsid w:val="008D1163"/>
    <w:rsid w:val="008D13F1"/>
    <w:rsid w:val="008D14E9"/>
    <w:rsid w:val="008D17A8"/>
    <w:rsid w:val="008D1F40"/>
    <w:rsid w:val="008D219A"/>
    <w:rsid w:val="008D2410"/>
    <w:rsid w:val="008D2B65"/>
    <w:rsid w:val="008D2BCB"/>
    <w:rsid w:val="008D30C3"/>
    <w:rsid w:val="008D32E4"/>
    <w:rsid w:val="008D4D3A"/>
    <w:rsid w:val="008D4D3C"/>
    <w:rsid w:val="008D61DC"/>
    <w:rsid w:val="008D6362"/>
    <w:rsid w:val="008D6E62"/>
    <w:rsid w:val="008D6F87"/>
    <w:rsid w:val="008D73EF"/>
    <w:rsid w:val="008D76BA"/>
    <w:rsid w:val="008D7FF5"/>
    <w:rsid w:val="008E02F8"/>
    <w:rsid w:val="008E0368"/>
    <w:rsid w:val="008E053C"/>
    <w:rsid w:val="008E0978"/>
    <w:rsid w:val="008E18E3"/>
    <w:rsid w:val="008E1ADE"/>
    <w:rsid w:val="008E25A9"/>
    <w:rsid w:val="008E3287"/>
    <w:rsid w:val="008E38BB"/>
    <w:rsid w:val="008E3C97"/>
    <w:rsid w:val="008E3D9E"/>
    <w:rsid w:val="008E3F46"/>
    <w:rsid w:val="008E3FBB"/>
    <w:rsid w:val="008E400B"/>
    <w:rsid w:val="008E4A8D"/>
    <w:rsid w:val="008E6005"/>
    <w:rsid w:val="008E6619"/>
    <w:rsid w:val="008E771C"/>
    <w:rsid w:val="008F0249"/>
    <w:rsid w:val="008F0E24"/>
    <w:rsid w:val="008F149D"/>
    <w:rsid w:val="008F17B8"/>
    <w:rsid w:val="008F1BC4"/>
    <w:rsid w:val="008F1EDA"/>
    <w:rsid w:val="008F2466"/>
    <w:rsid w:val="008F24EC"/>
    <w:rsid w:val="008F2E1D"/>
    <w:rsid w:val="008F4669"/>
    <w:rsid w:val="008F4796"/>
    <w:rsid w:val="008F481F"/>
    <w:rsid w:val="008F491F"/>
    <w:rsid w:val="008F548C"/>
    <w:rsid w:val="008F5E15"/>
    <w:rsid w:val="008F625F"/>
    <w:rsid w:val="008F63C6"/>
    <w:rsid w:val="008F697A"/>
    <w:rsid w:val="008F6C17"/>
    <w:rsid w:val="008F7E7A"/>
    <w:rsid w:val="0090028A"/>
    <w:rsid w:val="009004E9"/>
    <w:rsid w:val="00900E5A"/>
    <w:rsid w:val="009017C8"/>
    <w:rsid w:val="00901BF6"/>
    <w:rsid w:val="00901E3D"/>
    <w:rsid w:val="00901F48"/>
    <w:rsid w:val="009023DA"/>
    <w:rsid w:val="00902538"/>
    <w:rsid w:val="0090268B"/>
    <w:rsid w:val="0090287E"/>
    <w:rsid w:val="00902CFA"/>
    <w:rsid w:val="00902E8F"/>
    <w:rsid w:val="00904E75"/>
    <w:rsid w:val="00905354"/>
    <w:rsid w:val="00906985"/>
    <w:rsid w:val="00906B9E"/>
    <w:rsid w:val="0091030F"/>
    <w:rsid w:val="00910404"/>
    <w:rsid w:val="00910ABA"/>
    <w:rsid w:val="00910C69"/>
    <w:rsid w:val="00910C81"/>
    <w:rsid w:val="00910E94"/>
    <w:rsid w:val="00912688"/>
    <w:rsid w:val="00912DD9"/>
    <w:rsid w:val="00912EE7"/>
    <w:rsid w:val="0091338A"/>
    <w:rsid w:val="009133B5"/>
    <w:rsid w:val="009134D7"/>
    <w:rsid w:val="00913591"/>
    <w:rsid w:val="0091389C"/>
    <w:rsid w:val="00914472"/>
    <w:rsid w:val="00914773"/>
    <w:rsid w:val="009147C1"/>
    <w:rsid w:val="00914C12"/>
    <w:rsid w:val="00914FEC"/>
    <w:rsid w:val="00915888"/>
    <w:rsid w:val="00915DDC"/>
    <w:rsid w:val="00915FB0"/>
    <w:rsid w:val="00916717"/>
    <w:rsid w:val="00917B53"/>
    <w:rsid w:val="00917B9F"/>
    <w:rsid w:val="00917C23"/>
    <w:rsid w:val="009207C3"/>
    <w:rsid w:val="00921120"/>
    <w:rsid w:val="00921F1F"/>
    <w:rsid w:val="00922E23"/>
    <w:rsid w:val="009234D6"/>
    <w:rsid w:val="00923565"/>
    <w:rsid w:val="00924376"/>
    <w:rsid w:val="00924791"/>
    <w:rsid w:val="009247D0"/>
    <w:rsid w:val="00924986"/>
    <w:rsid w:val="00924EE5"/>
    <w:rsid w:val="00925A0E"/>
    <w:rsid w:val="00926081"/>
    <w:rsid w:val="00926228"/>
    <w:rsid w:val="00926382"/>
    <w:rsid w:val="009268AE"/>
    <w:rsid w:val="009276EF"/>
    <w:rsid w:val="0092790A"/>
    <w:rsid w:val="00927AAA"/>
    <w:rsid w:val="00927CF0"/>
    <w:rsid w:val="0093057C"/>
    <w:rsid w:val="00930A3B"/>
    <w:rsid w:val="00930B71"/>
    <w:rsid w:val="00930CE4"/>
    <w:rsid w:val="009317E7"/>
    <w:rsid w:val="009318AE"/>
    <w:rsid w:val="00931905"/>
    <w:rsid w:val="00931C4C"/>
    <w:rsid w:val="009327C4"/>
    <w:rsid w:val="00932812"/>
    <w:rsid w:val="00933716"/>
    <w:rsid w:val="00933783"/>
    <w:rsid w:val="00933AC5"/>
    <w:rsid w:val="00934022"/>
    <w:rsid w:val="00934CEC"/>
    <w:rsid w:val="0093529F"/>
    <w:rsid w:val="00935C00"/>
    <w:rsid w:val="00935D17"/>
    <w:rsid w:val="00936D74"/>
    <w:rsid w:val="0093721A"/>
    <w:rsid w:val="009372A1"/>
    <w:rsid w:val="00937B1B"/>
    <w:rsid w:val="00940701"/>
    <w:rsid w:val="009407F8"/>
    <w:rsid w:val="00940B43"/>
    <w:rsid w:val="00942A81"/>
    <w:rsid w:val="00942E04"/>
    <w:rsid w:val="009435EA"/>
    <w:rsid w:val="00943A0B"/>
    <w:rsid w:val="00943F94"/>
    <w:rsid w:val="00944398"/>
    <w:rsid w:val="009458AC"/>
    <w:rsid w:val="00945935"/>
    <w:rsid w:val="00945A26"/>
    <w:rsid w:val="00945FB7"/>
    <w:rsid w:val="0094625B"/>
    <w:rsid w:val="009463A4"/>
    <w:rsid w:val="0094653B"/>
    <w:rsid w:val="00946A8B"/>
    <w:rsid w:val="00946C73"/>
    <w:rsid w:val="00946D40"/>
    <w:rsid w:val="00947367"/>
    <w:rsid w:val="00947E21"/>
    <w:rsid w:val="0095022C"/>
    <w:rsid w:val="00950977"/>
    <w:rsid w:val="00950A10"/>
    <w:rsid w:val="00950A44"/>
    <w:rsid w:val="00950AA9"/>
    <w:rsid w:val="00950CB4"/>
    <w:rsid w:val="00951572"/>
    <w:rsid w:val="00951664"/>
    <w:rsid w:val="009516F0"/>
    <w:rsid w:val="009517B7"/>
    <w:rsid w:val="00951B58"/>
    <w:rsid w:val="00952BFB"/>
    <w:rsid w:val="009538BB"/>
    <w:rsid w:val="009538C2"/>
    <w:rsid w:val="00954579"/>
    <w:rsid w:val="00955686"/>
    <w:rsid w:val="009558ED"/>
    <w:rsid w:val="00955A70"/>
    <w:rsid w:val="00955E05"/>
    <w:rsid w:val="00955F01"/>
    <w:rsid w:val="00956922"/>
    <w:rsid w:val="009569DB"/>
    <w:rsid w:val="00957F3F"/>
    <w:rsid w:val="00961810"/>
    <w:rsid w:val="009619C8"/>
    <w:rsid w:val="00962C15"/>
    <w:rsid w:val="009636BB"/>
    <w:rsid w:val="009645F0"/>
    <w:rsid w:val="009654AE"/>
    <w:rsid w:val="009654DF"/>
    <w:rsid w:val="00965C32"/>
    <w:rsid w:val="009662B6"/>
    <w:rsid w:val="0097065F"/>
    <w:rsid w:val="0097097B"/>
    <w:rsid w:val="00970AE7"/>
    <w:rsid w:val="00970C81"/>
    <w:rsid w:val="00971943"/>
    <w:rsid w:val="00971E2B"/>
    <w:rsid w:val="0097251D"/>
    <w:rsid w:val="00972672"/>
    <w:rsid w:val="00973121"/>
    <w:rsid w:val="00973B72"/>
    <w:rsid w:val="00973BAE"/>
    <w:rsid w:val="00973FB3"/>
    <w:rsid w:val="009748BE"/>
    <w:rsid w:val="00974950"/>
    <w:rsid w:val="00974F65"/>
    <w:rsid w:val="009758B9"/>
    <w:rsid w:val="00975D88"/>
    <w:rsid w:val="00975DA0"/>
    <w:rsid w:val="00976E79"/>
    <w:rsid w:val="00976E7C"/>
    <w:rsid w:val="009774E4"/>
    <w:rsid w:val="00977F7A"/>
    <w:rsid w:val="00980859"/>
    <w:rsid w:val="00980E71"/>
    <w:rsid w:val="00981A50"/>
    <w:rsid w:val="00982656"/>
    <w:rsid w:val="00982C18"/>
    <w:rsid w:val="00983F2F"/>
    <w:rsid w:val="00983F81"/>
    <w:rsid w:val="009840F8"/>
    <w:rsid w:val="009841CC"/>
    <w:rsid w:val="00984B06"/>
    <w:rsid w:val="00985E53"/>
    <w:rsid w:val="00986297"/>
    <w:rsid w:val="00986340"/>
    <w:rsid w:val="00987122"/>
    <w:rsid w:val="00987543"/>
    <w:rsid w:val="009878AE"/>
    <w:rsid w:val="00987987"/>
    <w:rsid w:val="00987FC9"/>
    <w:rsid w:val="00990DFA"/>
    <w:rsid w:val="00991D1C"/>
    <w:rsid w:val="00992CAC"/>
    <w:rsid w:val="00992E06"/>
    <w:rsid w:val="009930B8"/>
    <w:rsid w:val="00993252"/>
    <w:rsid w:val="00993B39"/>
    <w:rsid w:val="00994475"/>
    <w:rsid w:val="009949DF"/>
    <w:rsid w:val="00995532"/>
    <w:rsid w:val="00996651"/>
    <w:rsid w:val="00996764"/>
    <w:rsid w:val="00996E5F"/>
    <w:rsid w:val="00997A20"/>
    <w:rsid w:val="00997E0D"/>
    <w:rsid w:val="009A0012"/>
    <w:rsid w:val="009A0087"/>
    <w:rsid w:val="009A00C2"/>
    <w:rsid w:val="009A07C0"/>
    <w:rsid w:val="009A0A3C"/>
    <w:rsid w:val="009A0F70"/>
    <w:rsid w:val="009A119F"/>
    <w:rsid w:val="009A14CF"/>
    <w:rsid w:val="009A1C09"/>
    <w:rsid w:val="009A1C37"/>
    <w:rsid w:val="009A3165"/>
    <w:rsid w:val="009A355C"/>
    <w:rsid w:val="009A3896"/>
    <w:rsid w:val="009A3C9B"/>
    <w:rsid w:val="009A4044"/>
    <w:rsid w:val="009A41F3"/>
    <w:rsid w:val="009A43EA"/>
    <w:rsid w:val="009A4C4A"/>
    <w:rsid w:val="009A5417"/>
    <w:rsid w:val="009A65B7"/>
    <w:rsid w:val="009A6A39"/>
    <w:rsid w:val="009A7067"/>
    <w:rsid w:val="009B050B"/>
    <w:rsid w:val="009B1766"/>
    <w:rsid w:val="009B17B0"/>
    <w:rsid w:val="009B27DC"/>
    <w:rsid w:val="009B4011"/>
    <w:rsid w:val="009B42E6"/>
    <w:rsid w:val="009B4AEC"/>
    <w:rsid w:val="009B5076"/>
    <w:rsid w:val="009B5183"/>
    <w:rsid w:val="009B5876"/>
    <w:rsid w:val="009B59B9"/>
    <w:rsid w:val="009B5BD9"/>
    <w:rsid w:val="009B613E"/>
    <w:rsid w:val="009B6F8F"/>
    <w:rsid w:val="009B7267"/>
    <w:rsid w:val="009B75C6"/>
    <w:rsid w:val="009B7A9A"/>
    <w:rsid w:val="009C04FA"/>
    <w:rsid w:val="009C060B"/>
    <w:rsid w:val="009C082B"/>
    <w:rsid w:val="009C0871"/>
    <w:rsid w:val="009C09C2"/>
    <w:rsid w:val="009C0BA4"/>
    <w:rsid w:val="009C0D48"/>
    <w:rsid w:val="009C13A9"/>
    <w:rsid w:val="009C2401"/>
    <w:rsid w:val="009C2D3D"/>
    <w:rsid w:val="009C2D7A"/>
    <w:rsid w:val="009C3098"/>
    <w:rsid w:val="009C318E"/>
    <w:rsid w:val="009C3ADC"/>
    <w:rsid w:val="009C3D34"/>
    <w:rsid w:val="009C4112"/>
    <w:rsid w:val="009C430F"/>
    <w:rsid w:val="009C45FD"/>
    <w:rsid w:val="009C4764"/>
    <w:rsid w:val="009C5551"/>
    <w:rsid w:val="009C6AC5"/>
    <w:rsid w:val="009C6AD4"/>
    <w:rsid w:val="009C7160"/>
    <w:rsid w:val="009C793E"/>
    <w:rsid w:val="009C7C91"/>
    <w:rsid w:val="009C7DCF"/>
    <w:rsid w:val="009C7F41"/>
    <w:rsid w:val="009D011A"/>
    <w:rsid w:val="009D02BD"/>
    <w:rsid w:val="009D0C99"/>
    <w:rsid w:val="009D0CBF"/>
    <w:rsid w:val="009D135F"/>
    <w:rsid w:val="009D2478"/>
    <w:rsid w:val="009D275D"/>
    <w:rsid w:val="009D291D"/>
    <w:rsid w:val="009D2B78"/>
    <w:rsid w:val="009D2BAF"/>
    <w:rsid w:val="009D2D0C"/>
    <w:rsid w:val="009D3495"/>
    <w:rsid w:val="009D380B"/>
    <w:rsid w:val="009D417F"/>
    <w:rsid w:val="009D4316"/>
    <w:rsid w:val="009D47AF"/>
    <w:rsid w:val="009D53DE"/>
    <w:rsid w:val="009D5F43"/>
    <w:rsid w:val="009D5F76"/>
    <w:rsid w:val="009D60F4"/>
    <w:rsid w:val="009D6423"/>
    <w:rsid w:val="009D6539"/>
    <w:rsid w:val="009D6732"/>
    <w:rsid w:val="009E02E8"/>
    <w:rsid w:val="009E0369"/>
    <w:rsid w:val="009E07D4"/>
    <w:rsid w:val="009E0DCD"/>
    <w:rsid w:val="009E105D"/>
    <w:rsid w:val="009E1508"/>
    <w:rsid w:val="009E198F"/>
    <w:rsid w:val="009E1C5B"/>
    <w:rsid w:val="009E2521"/>
    <w:rsid w:val="009E2609"/>
    <w:rsid w:val="009E2679"/>
    <w:rsid w:val="009E2FF4"/>
    <w:rsid w:val="009E38A7"/>
    <w:rsid w:val="009E3980"/>
    <w:rsid w:val="009E3C5A"/>
    <w:rsid w:val="009E4217"/>
    <w:rsid w:val="009E43B2"/>
    <w:rsid w:val="009E43F0"/>
    <w:rsid w:val="009E4533"/>
    <w:rsid w:val="009E4655"/>
    <w:rsid w:val="009E4AC6"/>
    <w:rsid w:val="009E5204"/>
    <w:rsid w:val="009E58F1"/>
    <w:rsid w:val="009E5AEE"/>
    <w:rsid w:val="009E62E5"/>
    <w:rsid w:val="009E6892"/>
    <w:rsid w:val="009E7042"/>
    <w:rsid w:val="009E7862"/>
    <w:rsid w:val="009E7A40"/>
    <w:rsid w:val="009E7B40"/>
    <w:rsid w:val="009F07CA"/>
    <w:rsid w:val="009F0B99"/>
    <w:rsid w:val="009F168C"/>
    <w:rsid w:val="009F2639"/>
    <w:rsid w:val="009F2C44"/>
    <w:rsid w:val="009F2C69"/>
    <w:rsid w:val="009F34AE"/>
    <w:rsid w:val="009F3A03"/>
    <w:rsid w:val="009F4550"/>
    <w:rsid w:val="009F4864"/>
    <w:rsid w:val="009F4F61"/>
    <w:rsid w:val="009F6337"/>
    <w:rsid w:val="009F6424"/>
    <w:rsid w:val="009F688A"/>
    <w:rsid w:val="009F699D"/>
    <w:rsid w:val="009F6B7A"/>
    <w:rsid w:val="009F72A3"/>
    <w:rsid w:val="00A0034C"/>
    <w:rsid w:val="00A004A5"/>
    <w:rsid w:val="00A00813"/>
    <w:rsid w:val="00A01074"/>
    <w:rsid w:val="00A013A6"/>
    <w:rsid w:val="00A01E82"/>
    <w:rsid w:val="00A0256F"/>
    <w:rsid w:val="00A029F2"/>
    <w:rsid w:val="00A02A22"/>
    <w:rsid w:val="00A02D62"/>
    <w:rsid w:val="00A032F6"/>
    <w:rsid w:val="00A03E1C"/>
    <w:rsid w:val="00A05BEB"/>
    <w:rsid w:val="00A06EF1"/>
    <w:rsid w:val="00A07828"/>
    <w:rsid w:val="00A07B69"/>
    <w:rsid w:val="00A07DC5"/>
    <w:rsid w:val="00A101BE"/>
    <w:rsid w:val="00A10363"/>
    <w:rsid w:val="00A10407"/>
    <w:rsid w:val="00A1123D"/>
    <w:rsid w:val="00A11564"/>
    <w:rsid w:val="00A126E9"/>
    <w:rsid w:val="00A141A6"/>
    <w:rsid w:val="00A143C7"/>
    <w:rsid w:val="00A14CDB"/>
    <w:rsid w:val="00A14D9C"/>
    <w:rsid w:val="00A15373"/>
    <w:rsid w:val="00A1589E"/>
    <w:rsid w:val="00A174EC"/>
    <w:rsid w:val="00A17A6B"/>
    <w:rsid w:val="00A17B89"/>
    <w:rsid w:val="00A20440"/>
    <w:rsid w:val="00A20F42"/>
    <w:rsid w:val="00A214A4"/>
    <w:rsid w:val="00A22F2B"/>
    <w:rsid w:val="00A23289"/>
    <w:rsid w:val="00A23E7E"/>
    <w:rsid w:val="00A247AF"/>
    <w:rsid w:val="00A24C90"/>
    <w:rsid w:val="00A24DB1"/>
    <w:rsid w:val="00A24EFB"/>
    <w:rsid w:val="00A2582E"/>
    <w:rsid w:val="00A26668"/>
    <w:rsid w:val="00A26CAE"/>
    <w:rsid w:val="00A274C0"/>
    <w:rsid w:val="00A2792B"/>
    <w:rsid w:val="00A304C2"/>
    <w:rsid w:val="00A304D6"/>
    <w:rsid w:val="00A305DD"/>
    <w:rsid w:val="00A30A98"/>
    <w:rsid w:val="00A30C4E"/>
    <w:rsid w:val="00A30DC9"/>
    <w:rsid w:val="00A311BA"/>
    <w:rsid w:val="00A318D2"/>
    <w:rsid w:val="00A31CE5"/>
    <w:rsid w:val="00A31DC3"/>
    <w:rsid w:val="00A320F4"/>
    <w:rsid w:val="00A328F6"/>
    <w:rsid w:val="00A32930"/>
    <w:rsid w:val="00A32A31"/>
    <w:rsid w:val="00A32EA1"/>
    <w:rsid w:val="00A32F7E"/>
    <w:rsid w:val="00A349EA"/>
    <w:rsid w:val="00A34E1E"/>
    <w:rsid w:val="00A350B4"/>
    <w:rsid w:val="00A350C4"/>
    <w:rsid w:val="00A352C0"/>
    <w:rsid w:val="00A36418"/>
    <w:rsid w:val="00A367E8"/>
    <w:rsid w:val="00A372C5"/>
    <w:rsid w:val="00A3777A"/>
    <w:rsid w:val="00A40A4A"/>
    <w:rsid w:val="00A4173B"/>
    <w:rsid w:val="00A41A07"/>
    <w:rsid w:val="00A41C2A"/>
    <w:rsid w:val="00A423ED"/>
    <w:rsid w:val="00A42CCA"/>
    <w:rsid w:val="00A43409"/>
    <w:rsid w:val="00A4345F"/>
    <w:rsid w:val="00A43F9A"/>
    <w:rsid w:val="00A44B70"/>
    <w:rsid w:val="00A45B10"/>
    <w:rsid w:val="00A45FFF"/>
    <w:rsid w:val="00A4655C"/>
    <w:rsid w:val="00A4692A"/>
    <w:rsid w:val="00A469CD"/>
    <w:rsid w:val="00A46DA9"/>
    <w:rsid w:val="00A503DE"/>
    <w:rsid w:val="00A50A18"/>
    <w:rsid w:val="00A5144B"/>
    <w:rsid w:val="00A51724"/>
    <w:rsid w:val="00A51F11"/>
    <w:rsid w:val="00A51F6A"/>
    <w:rsid w:val="00A524A7"/>
    <w:rsid w:val="00A52A3F"/>
    <w:rsid w:val="00A52C52"/>
    <w:rsid w:val="00A52D46"/>
    <w:rsid w:val="00A52F2E"/>
    <w:rsid w:val="00A5318E"/>
    <w:rsid w:val="00A532F3"/>
    <w:rsid w:val="00A537B5"/>
    <w:rsid w:val="00A53830"/>
    <w:rsid w:val="00A5415E"/>
    <w:rsid w:val="00A54547"/>
    <w:rsid w:val="00A548F4"/>
    <w:rsid w:val="00A5493D"/>
    <w:rsid w:val="00A551A0"/>
    <w:rsid w:val="00A55276"/>
    <w:rsid w:val="00A552FE"/>
    <w:rsid w:val="00A5561A"/>
    <w:rsid w:val="00A559A8"/>
    <w:rsid w:val="00A55B8D"/>
    <w:rsid w:val="00A55BB4"/>
    <w:rsid w:val="00A55EE6"/>
    <w:rsid w:val="00A5633F"/>
    <w:rsid w:val="00A56A7B"/>
    <w:rsid w:val="00A56B5F"/>
    <w:rsid w:val="00A57CB4"/>
    <w:rsid w:val="00A6034B"/>
    <w:rsid w:val="00A60762"/>
    <w:rsid w:val="00A60A7D"/>
    <w:rsid w:val="00A6145F"/>
    <w:rsid w:val="00A61594"/>
    <w:rsid w:val="00A61D2A"/>
    <w:rsid w:val="00A62C75"/>
    <w:rsid w:val="00A62E17"/>
    <w:rsid w:val="00A62F56"/>
    <w:rsid w:val="00A63158"/>
    <w:rsid w:val="00A63B61"/>
    <w:rsid w:val="00A63E01"/>
    <w:rsid w:val="00A653E1"/>
    <w:rsid w:val="00A65534"/>
    <w:rsid w:val="00A6555A"/>
    <w:rsid w:val="00A65624"/>
    <w:rsid w:val="00A65B6A"/>
    <w:rsid w:val="00A65DEE"/>
    <w:rsid w:val="00A66316"/>
    <w:rsid w:val="00A664B0"/>
    <w:rsid w:val="00A66B4F"/>
    <w:rsid w:val="00A66CBA"/>
    <w:rsid w:val="00A6731A"/>
    <w:rsid w:val="00A7096B"/>
    <w:rsid w:val="00A714A0"/>
    <w:rsid w:val="00A71901"/>
    <w:rsid w:val="00A71F00"/>
    <w:rsid w:val="00A71FFD"/>
    <w:rsid w:val="00A72161"/>
    <w:rsid w:val="00A72319"/>
    <w:rsid w:val="00A72ECB"/>
    <w:rsid w:val="00A73074"/>
    <w:rsid w:val="00A731E2"/>
    <w:rsid w:val="00A73318"/>
    <w:rsid w:val="00A742D3"/>
    <w:rsid w:val="00A75344"/>
    <w:rsid w:val="00A755D7"/>
    <w:rsid w:val="00A76093"/>
    <w:rsid w:val="00A76529"/>
    <w:rsid w:val="00A76C34"/>
    <w:rsid w:val="00A76F4C"/>
    <w:rsid w:val="00A76FFE"/>
    <w:rsid w:val="00A77593"/>
    <w:rsid w:val="00A77676"/>
    <w:rsid w:val="00A77B42"/>
    <w:rsid w:val="00A77DED"/>
    <w:rsid w:val="00A807A2"/>
    <w:rsid w:val="00A80EF5"/>
    <w:rsid w:val="00A814D3"/>
    <w:rsid w:val="00A816A8"/>
    <w:rsid w:val="00A82226"/>
    <w:rsid w:val="00A8224F"/>
    <w:rsid w:val="00A82288"/>
    <w:rsid w:val="00A82721"/>
    <w:rsid w:val="00A82ED6"/>
    <w:rsid w:val="00A8386F"/>
    <w:rsid w:val="00A838D0"/>
    <w:rsid w:val="00A843AE"/>
    <w:rsid w:val="00A84496"/>
    <w:rsid w:val="00A84648"/>
    <w:rsid w:val="00A84A5F"/>
    <w:rsid w:val="00A84CD7"/>
    <w:rsid w:val="00A84EE6"/>
    <w:rsid w:val="00A858C5"/>
    <w:rsid w:val="00A8596E"/>
    <w:rsid w:val="00A85B39"/>
    <w:rsid w:val="00A85BCE"/>
    <w:rsid w:val="00A862C0"/>
    <w:rsid w:val="00A867CB"/>
    <w:rsid w:val="00A86A11"/>
    <w:rsid w:val="00A86ADC"/>
    <w:rsid w:val="00A86D70"/>
    <w:rsid w:val="00A86F14"/>
    <w:rsid w:val="00A87200"/>
    <w:rsid w:val="00A873A1"/>
    <w:rsid w:val="00A87AB4"/>
    <w:rsid w:val="00A9068B"/>
    <w:rsid w:val="00A916F7"/>
    <w:rsid w:val="00A91B89"/>
    <w:rsid w:val="00A92A34"/>
    <w:rsid w:val="00A938FD"/>
    <w:rsid w:val="00A9396A"/>
    <w:rsid w:val="00A9415A"/>
    <w:rsid w:val="00A94252"/>
    <w:rsid w:val="00A942CE"/>
    <w:rsid w:val="00A94350"/>
    <w:rsid w:val="00A94E50"/>
    <w:rsid w:val="00A9535F"/>
    <w:rsid w:val="00A953D6"/>
    <w:rsid w:val="00A95514"/>
    <w:rsid w:val="00A95608"/>
    <w:rsid w:val="00A95BB7"/>
    <w:rsid w:val="00A95FD8"/>
    <w:rsid w:val="00A96722"/>
    <w:rsid w:val="00A96899"/>
    <w:rsid w:val="00A96D6B"/>
    <w:rsid w:val="00A971B8"/>
    <w:rsid w:val="00A97D08"/>
    <w:rsid w:val="00AA033C"/>
    <w:rsid w:val="00AA1849"/>
    <w:rsid w:val="00AA2892"/>
    <w:rsid w:val="00AA39C1"/>
    <w:rsid w:val="00AA3B5D"/>
    <w:rsid w:val="00AA3C65"/>
    <w:rsid w:val="00AA3C8B"/>
    <w:rsid w:val="00AA4596"/>
    <w:rsid w:val="00AA4DAE"/>
    <w:rsid w:val="00AA4DE4"/>
    <w:rsid w:val="00AA54BA"/>
    <w:rsid w:val="00AA553E"/>
    <w:rsid w:val="00AA62E3"/>
    <w:rsid w:val="00AA6610"/>
    <w:rsid w:val="00AA6925"/>
    <w:rsid w:val="00AA6C43"/>
    <w:rsid w:val="00AA6F7D"/>
    <w:rsid w:val="00AA7515"/>
    <w:rsid w:val="00AA79E2"/>
    <w:rsid w:val="00AB0975"/>
    <w:rsid w:val="00AB106E"/>
    <w:rsid w:val="00AB126B"/>
    <w:rsid w:val="00AB1FA5"/>
    <w:rsid w:val="00AB23DE"/>
    <w:rsid w:val="00AB3444"/>
    <w:rsid w:val="00AB3A47"/>
    <w:rsid w:val="00AB422E"/>
    <w:rsid w:val="00AB453E"/>
    <w:rsid w:val="00AB4C63"/>
    <w:rsid w:val="00AB4F0A"/>
    <w:rsid w:val="00AB5156"/>
    <w:rsid w:val="00AB5C15"/>
    <w:rsid w:val="00AB5F9E"/>
    <w:rsid w:val="00AB6058"/>
    <w:rsid w:val="00AB6D37"/>
    <w:rsid w:val="00AB6E90"/>
    <w:rsid w:val="00AB7006"/>
    <w:rsid w:val="00AB7207"/>
    <w:rsid w:val="00AB73F5"/>
    <w:rsid w:val="00AB787E"/>
    <w:rsid w:val="00AB7D9D"/>
    <w:rsid w:val="00AC07BA"/>
    <w:rsid w:val="00AC10D0"/>
    <w:rsid w:val="00AC117F"/>
    <w:rsid w:val="00AC1345"/>
    <w:rsid w:val="00AC137A"/>
    <w:rsid w:val="00AC14B3"/>
    <w:rsid w:val="00AC21E9"/>
    <w:rsid w:val="00AC2DD4"/>
    <w:rsid w:val="00AC2E1B"/>
    <w:rsid w:val="00AC350E"/>
    <w:rsid w:val="00AC3668"/>
    <w:rsid w:val="00AC3900"/>
    <w:rsid w:val="00AC3DC5"/>
    <w:rsid w:val="00AC3E29"/>
    <w:rsid w:val="00AC3EEE"/>
    <w:rsid w:val="00AC4959"/>
    <w:rsid w:val="00AC4E11"/>
    <w:rsid w:val="00AC5001"/>
    <w:rsid w:val="00AC526A"/>
    <w:rsid w:val="00AC535D"/>
    <w:rsid w:val="00AC5BAC"/>
    <w:rsid w:val="00AC6E06"/>
    <w:rsid w:val="00AC779B"/>
    <w:rsid w:val="00AC7914"/>
    <w:rsid w:val="00AC7FF8"/>
    <w:rsid w:val="00AD0266"/>
    <w:rsid w:val="00AD0DE3"/>
    <w:rsid w:val="00AD1102"/>
    <w:rsid w:val="00AD14FE"/>
    <w:rsid w:val="00AD19FF"/>
    <w:rsid w:val="00AD2063"/>
    <w:rsid w:val="00AD20BE"/>
    <w:rsid w:val="00AD28F8"/>
    <w:rsid w:val="00AD2E4B"/>
    <w:rsid w:val="00AD31E4"/>
    <w:rsid w:val="00AD37D2"/>
    <w:rsid w:val="00AD3CD1"/>
    <w:rsid w:val="00AD4607"/>
    <w:rsid w:val="00AD48AF"/>
    <w:rsid w:val="00AD4944"/>
    <w:rsid w:val="00AD4DFC"/>
    <w:rsid w:val="00AD5486"/>
    <w:rsid w:val="00AD7939"/>
    <w:rsid w:val="00AE23A9"/>
    <w:rsid w:val="00AE2BD2"/>
    <w:rsid w:val="00AE2D3A"/>
    <w:rsid w:val="00AE3166"/>
    <w:rsid w:val="00AE3795"/>
    <w:rsid w:val="00AE3B7D"/>
    <w:rsid w:val="00AE4446"/>
    <w:rsid w:val="00AE47B9"/>
    <w:rsid w:val="00AE53A8"/>
    <w:rsid w:val="00AE55C8"/>
    <w:rsid w:val="00AE617A"/>
    <w:rsid w:val="00AE7265"/>
    <w:rsid w:val="00AE7547"/>
    <w:rsid w:val="00AE7852"/>
    <w:rsid w:val="00AE7E8E"/>
    <w:rsid w:val="00AF00CD"/>
    <w:rsid w:val="00AF02B8"/>
    <w:rsid w:val="00AF0938"/>
    <w:rsid w:val="00AF14A5"/>
    <w:rsid w:val="00AF15B2"/>
    <w:rsid w:val="00AF1B55"/>
    <w:rsid w:val="00AF1B5B"/>
    <w:rsid w:val="00AF28EA"/>
    <w:rsid w:val="00AF3FF5"/>
    <w:rsid w:val="00AF403B"/>
    <w:rsid w:val="00AF422C"/>
    <w:rsid w:val="00AF4E36"/>
    <w:rsid w:val="00AF5544"/>
    <w:rsid w:val="00AF6189"/>
    <w:rsid w:val="00AF61BB"/>
    <w:rsid w:val="00AF62AE"/>
    <w:rsid w:val="00AF645D"/>
    <w:rsid w:val="00AF6602"/>
    <w:rsid w:val="00AF6828"/>
    <w:rsid w:val="00AF6949"/>
    <w:rsid w:val="00AF7161"/>
    <w:rsid w:val="00AF7737"/>
    <w:rsid w:val="00AF79FC"/>
    <w:rsid w:val="00B008B2"/>
    <w:rsid w:val="00B00996"/>
    <w:rsid w:val="00B0152E"/>
    <w:rsid w:val="00B0244B"/>
    <w:rsid w:val="00B024DC"/>
    <w:rsid w:val="00B034E1"/>
    <w:rsid w:val="00B03ED4"/>
    <w:rsid w:val="00B04580"/>
    <w:rsid w:val="00B04650"/>
    <w:rsid w:val="00B04981"/>
    <w:rsid w:val="00B04D28"/>
    <w:rsid w:val="00B04E3A"/>
    <w:rsid w:val="00B0587D"/>
    <w:rsid w:val="00B058C5"/>
    <w:rsid w:val="00B05FA8"/>
    <w:rsid w:val="00B0620E"/>
    <w:rsid w:val="00B068E4"/>
    <w:rsid w:val="00B06BAC"/>
    <w:rsid w:val="00B06EBF"/>
    <w:rsid w:val="00B070E2"/>
    <w:rsid w:val="00B07518"/>
    <w:rsid w:val="00B1031C"/>
    <w:rsid w:val="00B1104A"/>
    <w:rsid w:val="00B11B07"/>
    <w:rsid w:val="00B11B91"/>
    <w:rsid w:val="00B11DC3"/>
    <w:rsid w:val="00B12ACA"/>
    <w:rsid w:val="00B133FC"/>
    <w:rsid w:val="00B145C6"/>
    <w:rsid w:val="00B155D2"/>
    <w:rsid w:val="00B15C13"/>
    <w:rsid w:val="00B16019"/>
    <w:rsid w:val="00B1616B"/>
    <w:rsid w:val="00B16649"/>
    <w:rsid w:val="00B16878"/>
    <w:rsid w:val="00B16904"/>
    <w:rsid w:val="00B16C4E"/>
    <w:rsid w:val="00B17645"/>
    <w:rsid w:val="00B1791E"/>
    <w:rsid w:val="00B17B0B"/>
    <w:rsid w:val="00B17EB4"/>
    <w:rsid w:val="00B17FE5"/>
    <w:rsid w:val="00B20176"/>
    <w:rsid w:val="00B2017B"/>
    <w:rsid w:val="00B21105"/>
    <w:rsid w:val="00B2154F"/>
    <w:rsid w:val="00B217D1"/>
    <w:rsid w:val="00B21901"/>
    <w:rsid w:val="00B21A5D"/>
    <w:rsid w:val="00B228BD"/>
    <w:rsid w:val="00B228CF"/>
    <w:rsid w:val="00B22CD0"/>
    <w:rsid w:val="00B22E8F"/>
    <w:rsid w:val="00B2343D"/>
    <w:rsid w:val="00B23C4C"/>
    <w:rsid w:val="00B2459F"/>
    <w:rsid w:val="00B2473F"/>
    <w:rsid w:val="00B2483A"/>
    <w:rsid w:val="00B24F3A"/>
    <w:rsid w:val="00B24F8C"/>
    <w:rsid w:val="00B25D97"/>
    <w:rsid w:val="00B25E0D"/>
    <w:rsid w:val="00B26256"/>
    <w:rsid w:val="00B263A2"/>
    <w:rsid w:val="00B26D73"/>
    <w:rsid w:val="00B26F9A"/>
    <w:rsid w:val="00B300D4"/>
    <w:rsid w:val="00B310D6"/>
    <w:rsid w:val="00B31811"/>
    <w:rsid w:val="00B31BB5"/>
    <w:rsid w:val="00B31DB2"/>
    <w:rsid w:val="00B31DC7"/>
    <w:rsid w:val="00B323E1"/>
    <w:rsid w:val="00B32893"/>
    <w:rsid w:val="00B33CFB"/>
    <w:rsid w:val="00B34455"/>
    <w:rsid w:val="00B34B9D"/>
    <w:rsid w:val="00B34DB3"/>
    <w:rsid w:val="00B3520C"/>
    <w:rsid w:val="00B35985"/>
    <w:rsid w:val="00B35CC2"/>
    <w:rsid w:val="00B36107"/>
    <w:rsid w:val="00B36306"/>
    <w:rsid w:val="00B36411"/>
    <w:rsid w:val="00B36664"/>
    <w:rsid w:val="00B3694D"/>
    <w:rsid w:val="00B36FE3"/>
    <w:rsid w:val="00B36FED"/>
    <w:rsid w:val="00B377CB"/>
    <w:rsid w:val="00B4005B"/>
    <w:rsid w:val="00B402FF"/>
    <w:rsid w:val="00B4036F"/>
    <w:rsid w:val="00B40456"/>
    <w:rsid w:val="00B40467"/>
    <w:rsid w:val="00B40862"/>
    <w:rsid w:val="00B420EB"/>
    <w:rsid w:val="00B4226E"/>
    <w:rsid w:val="00B42334"/>
    <w:rsid w:val="00B43199"/>
    <w:rsid w:val="00B43E24"/>
    <w:rsid w:val="00B44F72"/>
    <w:rsid w:val="00B454F5"/>
    <w:rsid w:val="00B46CE7"/>
    <w:rsid w:val="00B46D5A"/>
    <w:rsid w:val="00B473F8"/>
    <w:rsid w:val="00B47A6D"/>
    <w:rsid w:val="00B503FD"/>
    <w:rsid w:val="00B50E5B"/>
    <w:rsid w:val="00B50E8F"/>
    <w:rsid w:val="00B512DB"/>
    <w:rsid w:val="00B516D3"/>
    <w:rsid w:val="00B5178A"/>
    <w:rsid w:val="00B519D5"/>
    <w:rsid w:val="00B51A1F"/>
    <w:rsid w:val="00B51A64"/>
    <w:rsid w:val="00B52238"/>
    <w:rsid w:val="00B525A5"/>
    <w:rsid w:val="00B5323C"/>
    <w:rsid w:val="00B5325D"/>
    <w:rsid w:val="00B53493"/>
    <w:rsid w:val="00B537F7"/>
    <w:rsid w:val="00B54ACC"/>
    <w:rsid w:val="00B54B31"/>
    <w:rsid w:val="00B55006"/>
    <w:rsid w:val="00B55EF4"/>
    <w:rsid w:val="00B56403"/>
    <w:rsid w:val="00B5682C"/>
    <w:rsid w:val="00B568E7"/>
    <w:rsid w:val="00B57A67"/>
    <w:rsid w:val="00B57C51"/>
    <w:rsid w:val="00B6049F"/>
    <w:rsid w:val="00B61416"/>
    <w:rsid w:val="00B6143F"/>
    <w:rsid w:val="00B62DEE"/>
    <w:rsid w:val="00B6312D"/>
    <w:rsid w:val="00B63458"/>
    <w:rsid w:val="00B6354D"/>
    <w:rsid w:val="00B63B5B"/>
    <w:rsid w:val="00B63D91"/>
    <w:rsid w:val="00B63DCB"/>
    <w:rsid w:val="00B63F5F"/>
    <w:rsid w:val="00B64A40"/>
    <w:rsid w:val="00B65123"/>
    <w:rsid w:val="00B657AB"/>
    <w:rsid w:val="00B6603A"/>
    <w:rsid w:val="00B66708"/>
    <w:rsid w:val="00B66BC8"/>
    <w:rsid w:val="00B66DA5"/>
    <w:rsid w:val="00B678F0"/>
    <w:rsid w:val="00B7117E"/>
    <w:rsid w:val="00B7145D"/>
    <w:rsid w:val="00B71E1E"/>
    <w:rsid w:val="00B72935"/>
    <w:rsid w:val="00B72B38"/>
    <w:rsid w:val="00B72CB9"/>
    <w:rsid w:val="00B73784"/>
    <w:rsid w:val="00B73BD0"/>
    <w:rsid w:val="00B742D5"/>
    <w:rsid w:val="00B745C9"/>
    <w:rsid w:val="00B749F0"/>
    <w:rsid w:val="00B74E19"/>
    <w:rsid w:val="00B75128"/>
    <w:rsid w:val="00B75C0F"/>
    <w:rsid w:val="00B76076"/>
    <w:rsid w:val="00B76159"/>
    <w:rsid w:val="00B76773"/>
    <w:rsid w:val="00B77539"/>
    <w:rsid w:val="00B77A15"/>
    <w:rsid w:val="00B77F9F"/>
    <w:rsid w:val="00B801D5"/>
    <w:rsid w:val="00B80E6C"/>
    <w:rsid w:val="00B816EC"/>
    <w:rsid w:val="00B8181B"/>
    <w:rsid w:val="00B81845"/>
    <w:rsid w:val="00B81ACD"/>
    <w:rsid w:val="00B81B29"/>
    <w:rsid w:val="00B81C0C"/>
    <w:rsid w:val="00B81EDD"/>
    <w:rsid w:val="00B8254C"/>
    <w:rsid w:val="00B82819"/>
    <w:rsid w:val="00B82B83"/>
    <w:rsid w:val="00B82C5E"/>
    <w:rsid w:val="00B82EFC"/>
    <w:rsid w:val="00B833F7"/>
    <w:rsid w:val="00B8376A"/>
    <w:rsid w:val="00B83D0A"/>
    <w:rsid w:val="00B83DFD"/>
    <w:rsid w:val="00B842D6"/>
    <w:rsid w:val="00B84353"/>
    <w:rsid w:val="00B85192"/>
    <w:rsid w:val="00B85990"/>
    <w:rsid w:val="00B862F6"/>
    <w:rsid w:val="00B864C4"/>
    <w:rsid w:val="00B86BEB"/>
    <w:rsid w:val="00B8717A"/>
    <w:rsid w:val="00B87751"/>
    <w:rsid w:val="00B905B3"/>
    <w:rsid w:val="00B90A85"/>
    <w:rsid w:val="00B9163E"/>
    <w:rsid w:val="00B919AC"/>
    <w:rsid w:val="00B91B62"/>
    <w:rsid w:val="00B92211"/>
    <w:rsid w:val="00B92C8C"/>
    <w:rsid w:val="00B93415"/>
    <w:rsid w:val="00B93AE1"/>
    <w:rsid w:val="00B93E6B"/>
    <w:rsid w:val="00B9412E"/>
    <w:rsid w:val="00B9562B"/>
    <w:rsid w:val="00B95DB9"/>
    <w:rsid w:val="00B969A2"/>
    <w:rsid w:val="00B96DE1"/>
    <w:rsid w:val="00B96FA3"/>
    <w:rsid w:val="00B97696"/>
    <w:rsid w:val="00B979F5"/>
    <w:rsid w:val="00BA0DF3"/>
    <w:rsid w:val="00BA1A7F"/>
    <w:rsid w:val="00BA2740"/>
    <w:rsid w:val="00BA33B7"/>
    <w:rsid w:val="00BA4182"/>
    <w:rsid w:val="00BA5135"/>
    <w:rsid w:val="00BA51F9"/>
    <w:rsid w:val="00BA59C2"/>
    <w:rsid w:val="00BA5C71"/>
    <w:rsid w:val="00BA6110"/>
    <w:rsid w:val="00BA61E7"/>
    <w:rsid w:val="00BA693D"/>
    <w:rsid w:val="00BA6DF8"/>
    <w:rsid w:val="00BA799A"/>
    <w:rsid w:val="00BB0683"/>
    <w:rsid w:val="00BB11DB"/>
    <w:rsid w:val="00BB14C7"/>
    <w:rsid w:val="00BB1A6B"/>
    <w:rsid w:val="00BB1E4B"/>
    <w:rsid w:val="00BB22DB"/>
    <w:rsid w:val="00BB26E5"/>
    <w:rsid w:val="00BB2735"/>
    <w:rsid w:val="00BB2955"/>
    <w:rsid w:val="00BB2BBE"/>
    <w:rsid w:val="00BB2E2F"/>
    <w:rsid w:val="00BB39A5"/>
    <w:rsid w:val="00BB3D61"/>
    <w:rsid w:val="00BB3FE1"/>
    <w:rsid w:val="00BB42CA"/>
    <w:rsid w:val="00BB4BCA"/>
    <w:rsid w:val="00BB4F1C"/>
    <w:rsid w:val="00BB5198"/>
    <w:rsid w:val="00BB5931"/>
    <w:rsid w:val="00BB6176"/>
    <w:rsid w:val="00BB7C88"/>
    <w:rsid w:val="00BC032B"/>
    <w:rsid w:val="00BC0F04"/>
    <w:rsid w:val="00BC13CE"/>
    <w:rsid w:val="00BC2BA8"/>
    <w:rsid w:val="00BC2C8A"/>
    <w:rsid w:val="00BC2CAE"/>
    <w:rsid w:val="00BC3070"/>
    <w:rsid w:val="00BC3205"/>
    <w:rsid w:val="00BC3E69"/>
    <w:rsid w:val="00BC5040"/>
    <w:rsid w:val="00BC5683"/>
    <w:rsid w:val="00BC5AA5"/>
    <w:rsid w:val="00BC6CA5"/>
    <w:rsid w:val="00BC760B"/>
    <w:rsid w:val="00BC79FA"/>
    <w:rsid w:val="00BC7E98"/>
    <w:rsid w:val="00BD0525"/>
    <w:rsid w:val="00BD08C3"/>
    <w:rsid w:val="00BD0FC2"/>
    <w:rsid w:val="00BD1705"/>
    <w:rsid w:val="00BD1736"/>
    <w:rsid w:val="00BD1B65"/>
    <w:rsid w:val="00BD1E20"/>
    <w:rsid w:val="00BD217D"/>
    <w:rsid w:val="00BD2949"/>
    <w:rsid w:val="00BD29F1"/>
    <w:rsid w:val="00BD2CBD"/>
    <w:rsid w:val="00BD3350"/>
    <w:rsid w:val="00BD33EB"/>
    <w:rsid w:val="00BD38D0"/>
    <w:rsid w:val="00BD3B7B"/>
    <w:rsid w:val="00BD4108"/>
    <w:rsid w:val="00BD41E8"/>
    <w:rsid w:val="00BD42EC"/>
    <w:rsid w:val="00BD4408"/>
    <w:rsid w:val="00BD4464"/>
    <w:rsid w:val="00BD475C"/>
    <w:rsid w:val="00BD47E1"/>
    <w:rsid w:val="00BD48CE"/>
    <w:rsid w:val="00BD4B14"/>
    <w:rsid w:val="00BD5485"/>
    <w:rsid w:val="00BD5984"/>
    <w:rsid w:val="00BD5D2A"/>
    <w:rsid w:val="00BD67C9"/>
    <w:rsid w:val="00BD6CCE"/>
    <w:rsid w:val="00BD6D65"/>
    <w:rsid w:val="00BD79C8"/>
    <w:rsid w:val="00BD7FC7"/>
    <w:rsid w:val="00BE0F27"/>
    <w:rsid w:val="00BE0F6B"/>
    <w:rsid w:val="00BE1B6C"/>
    <w:rsid w:val="00BE1E00"/>
    <w:rsid w:val="00BE2475"/>
    <w:rsid w:val="00BE2BEC"/>
    <w:rsid w:val="00BE2EAD"/>
    <w:rsid w:val="00BE32F8"/>
    <w:rsid w:val="00BE3724"/>
    <w:rsid w:val="00BE3BC2"/>
    <w:rsid w:val="00BE3D65"/>
    <w:rsid w:val="00BE3DAF"/>
    <w:rsid w:val="00BE45C5"/>
    <w:rsid w:val="00BE4F1C"/>
    <w:rsid w:val="00BE535D"/>
    <w:rsid w:val="00BE5A4C"/>
    <w:rsid w:val="00BE5C39"/>
    <w:rsid w:val="00BE6175"/>
    <w:rsid w:val="00BE6EA9"/>
    <w:rsid w:val="00BE6EC3"/>
    <w:rsid w:val="00BE743D"/>
    <w:rsid w:val="00BE754E"/>
    <w:rsid w:val="00BE76EC"/>
    <w:rsid w:val="00BE79A0"/>
    <w:rsid w:val="00BE7A85"/>
    <w:rsid w:val="00BE7EDF"/>
    <w:rsid w:val="00BF0172"/>
    <w:rsid w:val="00BF0C53"/>
    <w:rsid w:val="00BF1252"/>
    <w:rsid w:val="00BF199E"/>
    <w:rsid w:val="00BF1DAF"/>
    <w:rsid w:val="00BF1DCD"/>
    <w:rsid w:val="00BF20A4"/>
    <w:rsid w:val="00BF225B"/>
    <w:rsid w:val="00BF2407"/>
    <w:rsid w:val="00BF27BF"/>
    <w:rsid w:val="00BF2A02"/>
    <w:rsid w:val="00BF3430"/>
    <w:rsid w:val="00BF3878"/>
    <w:rsid w:val="00BF3AE7"/>
    <w:rsid w:val="00BF3B8A"/>
    <w:rsid w:val="00BF426F"/>
    <w:rsid w:val="00BF4613"/>
    <w:rsid w:val="00BF489C"/>
    <w:rsid w:val="00BF5E61"/>
    <w:rsid w:val="00BF62BC"/>
    <w:rsid w:val="00BF6E1A"/>
    <w:rsid w:val="00BF7A4A"/>
    <w:rsid w:val="00BF7CE3"/>
    <w:rsid w:val="00C00539"/>
    <w:rsid w:val="00C00A60"/>
    <w:rsid w:val="00C00BF2"/>
    <w:rsid w:val="00C018E9"/>
    <w:rsid w:val="00C01C51"/>
    <w:rsid w:val="00C01EEF"/>
    <w:rsid w:val="00C02527"/>
    <w:rsid w:val="00C02623"/>
    <w:rsid w:val="00C02B61"/>
    <w:rsid w:val="00C02FE4"/>
    <w:rsid w:val="00C03BD6"/>
    <w:rsid w:val="00C03F17"/>
    <w:rsid w:val="00C04074"/>
    <w:rsid w:val="00C0449C"/>
    <w:rsid w:val="00C045C3"/>
    <w:rsid w:val="00C06CEE"/>
    <w:rsid w:val="00C0703C"/>
    <w:rsid w:val="00C07C89"/>
    <w:rsid w:val="00C100F1"/>
    <w:rsid w:val="00C10384"/>
    <w:rsid w:val="00C10905"/>
    <w:rsid w:val="00C114F0"/>
    <w:rsid w:val="00C117C5"/>
    <w:rsid w:val="00C12CB0"/>
    <w:rsid w:val="00C12CE5"/>
    <w:rsid w:val="00C12F08"/>
    <w:rsid w:val="00C13045"/>
    <w:rsid w:val="00C13D1C"/>
    <w:rsid w:val="00C14391"/>
    <w:rsid w:val="00C14AD4"/>
    <w:rsid w:val="00C14DC5"/>
    <w:rsid w:val="00C1607C"/>
    <w:rsid w:val="00C1652E"/>
    <w:rsid w:val="00C16750"/>
    <w:rsid w:val="00C16D0A"/>
    <w:rsid w:val="00C17B76"/>
    <w:rsid w:val="00C20154"/>
    <w:rsid w:val="00C2020C"/>
    <w:rsid w:val="00C2113F"/>
    <w:rsid w:val="00C2197F"/>
    <w:rsid w:val="00C22031"/>
    <w:rsid w:val="00C22918"/>
    <w:rsid w:val="00C22980"/>
    <w:rsid w:val="00C22AF2"/>
    <w:rsid w:val="00C22D68"/>
    <w:rsid w:val="00C23043"/>
    <w:rsid w:val="00C23168"/>
    <w:rsid w:val="00C23776"/>
    <w:rsid w:val="00C23DC1"/>
    <w:rsid w:val="00C23E93"/>
    <w:rsid w:val="00C242C4"/>
    <w:rsid w:val="00C24AD3"/>
    <w:rsid w:val="00C25E33"/>
    <w:rsid w:val="00C26219"/>
    <w:rsid w:val="00C2692B"/>
    <w:rsid w:val="00C26F74"/>
    <w:rsid w:val="00C2789A"/>
    <w:rsid w:val="00C278E5"/>
    <w:rsid w:val="00C3002F"/>
    <w:rsid w:val="00C3096D"/>
    <w:rsid w:val="00C31656"/>
    <w:rsid w:val="00C3211D"/>
    <w:rsid w:val="00C3216C"/>
    <w:rsid w:val="00C3233A"/>
    <w:rsid w:val="00C3239D"/>
    <w:rsid w:val="00C326A9"/>
    <w:rsid w:val="00C3275C"/>
    <w:rsid w:val="00C32801"/>
    <w:rsid w:val="00C32EB6"/>
    <w:rsid w:val="00C335AE"/>
    <w:rsid w:val="00C33AD7"/>
    <w:rsid w:val="00C34222"/>
    <w:rsid w:val="00C348EB"/>
    <w:rsid w:val="00C349B9"/>
    <w:rsid w:val="00C349E3"/>
    <w:rsid w:val="00C34BBD"/>
    <w:rsid w:val="00C35992"/>
    <w:rsid w:val="00C35D92"/>
    <w:rsid w:val="00C3643A"/>
    <w:rsid w:val="00C37205"/>
    <w:rsid w:val="00C3743C"/>
    <w:rsid w:val="00C37924"/>
    <w:rsid w:val="00C379A2"/>
    <w:rsid w:val="00C40277"/>
    <w:rsid w:val="00C405DF"/>
    <w:rsid w:val="00C408B5"/>
    <w:rsid w:val="00C41398"/>
    <w:rsid w:val="00C41B0C"/>
    <w:rsid w:val="00C41C77"/>
    <w:rsid w:val="00C4227B"/>
    <w:rsid w:val="00C424F8"/>
    <w:rsid w:val="00C42F99"/>
    <w:rsid w:val="00C43951"/>
    <w:rsid w:val="00C43A70"/>
    <w:rsid w:val="00C44065"/>
    <w:rsid w:val="00C440B7"/>
    <w:rsid w:val="00C44589"/>
    <w:rsid w:val="00C44C9D"/>
    <w:rsid w:val="00C45104"/>
    <w:rsid w:val="00C45A5F"/>
    <w:rsid w:val="00C45AB8"/>
    <w:rsid w:val="00C45D13"/>
    <w:rsid w:val="00C46703"/>
    <w:rsid w:val="00C46D42"/>
    <w:rsid w:val="00C473E7"/>
    <w:rsid w:val="00C479D3"/>
    <w:rsid w:val="00C51284"/>
    <w:rsid w:val="00C51637"/>
    <w:rsid w:val="00C5215F"/>
    <w:rsid w:val="00C52F5E"/>
    <w:rsid w:val="00C53252"/>
    <w:rsid w:val="00C535CA"/>
    <w:rsid w:val="00C5362C"/>
    <w:rsid w:val="00C5378C"/>
    <w:rsid w:val="00C53CB9"/>
    <w:rsid w:val="00C53D18"/>
    <w:rsid w:val="00C5478B"/>
    <w:rsid w:val="00C54961"/>
    <w:rsid w:val="00C55642"/>
    <w:rsid w:val="00C5564A"/>
    <w:rsid w:val="00C55ACF"/>
    <w:rsid w:val="00C55CAF"/>
    <w:rsid w:val="00C55E2A"/>
    <w:rsid w:val="00C55F43"/>
    <w:rsid w:val="00C56856"/>
    <w:rsid w:val="00C5752A"/>
    <w:rsid w:val="00C577CC"/>
    <w:rsid w:val="00C5788A"/>
    <w:rsid w:val="00C57EB9"/>
    <w:rsid w:val="00C6080B"/>
    <w:rsid w:val="00C60AD9"/>
    <w:rsid w:val="00C60F29"/>
    <w:rsid w:val="00C6102F"/>
    <w:rsid w:val="00C61107"/>
    <w:rsid w:val="00C6141C"/>
    <w:rsid w:val="00C61501"/>
    <w:rsid w:val="00C617BD"/>
    <w:rsid w:val="00C62003"/>
    <w:rsid w:val="00C62406"/>
    <w:rsid w:val="00C62585"/>
    <w:rsid w:val="00C62E23"/>
    <w:rsid w:val="00C62E4F"/>
    <w:rsid w:val="00C62E77"/>
    <w:rsid w:val="00C637A5"/>
    <w:rsid w:val="00C63ACF"/>
    <w:rsid w:val="00C63B60"/>
    <w:rsid w:val="00C63E99"/>
    <w:rsid w:val="00C64A23"/>
    <w:rsid w:val="00C64E60"/>
    <w:rsid w:val="00C658CE"/>
    <w:rsid w:val="00C65924"/>
    <w:rsid w:val="00C659B6"/>
    <w:rsid w:val="00C65ECC"/>
    <w:rsid w:val="00C66569"/>
    <w:rsid w:val="00C66732"/>
    <w:rsid w:val="00C66DC4"/>
    <w:rsid w:val="00C67E44"/>
    <w:rsid w:val="00C701F1"/>
    <w:rsid w:val="00C7026E"/>
    <w:rsid w:val="00C70AE0"/>
    <w:rsid w:val="00C71449"/>
    <w:rsid w:val="00C71BB0"/>
    <w:rsid w:val="00C71DE0"/>
    <w:rsid w:val="00C7221C"/>
    <w:rsid w:val="00C72822"/>
    <w:rsid w:val="00C730D6"/>
    <w:rsid w:val="00C739EF"/>
    <w:rsid w:val="00C7432F"/>
    <w:rsid w:val="00C743E0"/>
    <w:rsid w:val="00C746F4"/>
    <w:rsid w:val="00C749FF"/>
    <w:rsid w:val="00C7566E"/>
    <w:rsid w:val="00C75D69"/>
    <w:rsid w:val="00C76A0B"/>
    <w:rsid w:val="00C76C9E"/>
    <w:rsid w:val="00C76EA2"/>
    <w:rsid w:val="00C77289"/>
    <w:rsid w:val="00C80022"/>
    <w:rsid w:val="00C80DC1"/>
    <w:rsid w:val="00C8106A"/>
    <w:rsid w:val="00C81B56"/>
    <w:rsid w:val="00C82A0E"/>
    <w:rsid w:val="00C83026"/>
    <w:rsid w:val="00C8383A"/>
    <w:rsid w:val="00C84221"/>
    <w:rsid w:val="00C846E7"/>
    <w:rsid w:val="00C846FE"/>
    <w:rsid w:val="00C84DF0"/>
    <w:rsid w:val="00C85602"/>
    <w:rsid w:val="00C85F9E"/>
    <w:rsid w:val="00C91297"/>
    <w:rsid w:val="00C92277"/>
    <w:rsid w:val="00C925D5"/>
    <w:rsid w:val="00C927D4"/>
    <w:rsid w:val="00C92C3C"/>
    <w:rsid w:val="00C9356D"/>
    <w:rsid w:val="00C9358A"/>
    <w:rsid w:val="00C94D07"/>
    <w:rsid w:val="00C9784E"/>
    <w:rsid w:val="00C97DEC"/>
    <w:rsid w:val="00C97E01"/>
    <w:rsid w:val="00C97F0C"/>
    <w:rsid w:val="00CA1015"/>
    <w:rsid w:val="00CA157A"/>
    <w:rsid w:val="00CA15EF"/>
    <w:rsid w:val="00CA1842"/>
    <w:rsid w:val="00CA1E69"/>
    <w:rsid w:val="00CA2BD2"/>
    <w:rsid w:val="00CA2C2E"/>
    <w:rsid w:val="00CA3035"/>
    <w:rsid w:val="00CA32F4"/>
    <w:rsid w:val="00CA3506"/>
    <w:rsid w:val="00CA36CE"/>
    <w:rsid w:val="00CA3C12"/>
    <w:rsid w:val="00CA3C29"/>
    <w:rsid w:val="00CA573A"/>
    <w:rsid w:val="00CA6029"/>
    <w:rsid w:val="00CA6217"/>
    <w:rsid w:val="00CA67BB"/>
    <w:rsid w:val="00CA6AD9"/>
    <w:rsid w:val="00CA6C7F"/>
    <w:rsid w:val="00CA73E7"/>
    <w:rsid w:val="00CA76B6"/>
    <w:rsid w:val="00CB01B0"/>
    <w:rsid w:val="00CB042B"/>
    <w:rsid w:val="00CB0896"/>
    <w:rsid w:val="00CB0FB0"/>
    <w:rsid w:val="00CB13C5"/>
    <w:rsid w:val="00CB146C"/>
    <w:rsid w:val="00CB14FE"/>
    <w:rsid w:val="00CB1E8C"/>
    <w:rsid w:val="00CB1FBD"/>
    <w:rsid w:val="00CB21FC"/>
    <w:rsid w:val="00CB2434"/>
    <w:rsid w:val="00CB27C0"/>
    <w:rsid w:val="00CB3E7E"/>
    <w:rsid w:val="00CB427C"/>
    <w:rsid w:val="00CB43C5"/>
    <w:rsid w:val="00CB503E"/>
    <w:rsid w:val="00CB51B1"/>
    <w:rsid w:val="00CB5B92"/>
    <w:rsid w:val="00CB6DBC"/>
    <w:rsid w:val="00CB6EA0"/>
    <w:rsid w:val="00CB7274"/>
    <w:rsid w:val="00CB7290"/>
    <w:rsid w:val="00CB78B9"/>
    <w:rsid w:val="00CB79A5"/>
    <w:rsid w:val="00CC01F6"/>
    <w:rsid w:val="00CC0BF7"/>
    <w:rsid w:val="00CC0D86"/>
    <w:rsid w:val="00CC1417"/>
    <w:rsid w:val="00CC1636"/>
    <w:rsid w:val="00CC1742"/>
    <w:rsid w:val="00CC21CA"/>
    <w:rsid w:val="00CC369F"/>
    <w:rsid w:val="00CC38B0"/>
    <w:rsid w:val="00CC3B27"/>
    <w:rsid w:val="00CC4480"/>
    <w:rsid w:val="00CC4CBD"/>
    <w:rsid w:val="00CC5AB6"/>
    <w:rsid w:val="00CC68F7"/>
    <w:rsid w:val="00CC6904"/>
    <w:rsid w:val="00CC6F36"/>
    <w:rsid w:val="00CC6F59"/>
    <w:rsid w:val="00CC71D2"/>
    <w:rsid w:val="00CC7406"/>
    <w:rsid w:val="00CC742D"/>
    <w:rsid w:val="00CC76A0"/>
    <w:rsid w:val="00CD0284"/>
    <w:rsid w:val="00CD0497"/>
    <w:rsid w:val="00CD08A5"/>
    <w:rsid w:val="00CD0A45"/>
    <w:rsid w:val="00CD1753"/>
    <w:rsid w:val="00CD18C2"/>
    <w:rsid w:val="00CD21D7"/>
    <w:rsid w:val="00CD24B7"/>
    <w:rsid w:val="00CD2535"/>
    <w:rsid w:val="00CD256D"/>
    <w:rsid w:val="00CD25F7"/>
    <w:rsid w:val="00CD2655"/>
    <w:rsid w:val="00CD2696"/>
    <w:rsid w:val="00CD295E"/>
    <w:rsid w:val="00CD30E4"/>
    <w:rsid w:val="00CD4392"/>
    <w:rsid w:val="00CD4612"/>
    <w:rsid w:val="00CD4FDD"/>
    <w:rsid w:val="00CD5A17"/>
    <w:rsid w:val="00CD5A29"/>
    <w:rsid w:val="00CD70C6"/>
    <w:rsid w:val="00CD79B8"/>
    <w:rsid w:val="00CD7A05"/>
    <w:rsid w:val="00CD7EFD"/>
    <w:rsid w:val="00CD7FA4"/>
    <w:rsid w:val="00CE09C5"/>
    <w:rsid w:val="00CE0A6B"/>
    <w:rsid w:val="00CE0B1E"/>
    <w:rsid w:val="00CE0C4A"/>
    <w:rsid w:val="00CE0DE1"/>
    <w:rsid w:val="00CE0F01"/>
    <w:rsid w:val="00CE12D9"/>
    <w:rsid w:val="00CE172D"/>
    <w:rsid w:val="00CE1C3E"/>
    <w:rsid w:val="00CE209D"/>
    <w:rsid w:val="00CE235C"/>
    <w:rsid w:val="00CE257B"/>
    <w:rsid w:val="00CE2AB3"/>
    <w:rsid w:val="00CE2B69"/>
    <w:rsid w:val="00CE2E87"/>
    <w:rsid w:val="00CE2FEC"/>
    <w:rsid w:val="00CE350F"/>
    <w:rsid w:val="00CE443A"/>
    <w:rsid w:val="00CE4A40"/>
    <w:rsid w:val="00CE4E18"/>
    <w:rsid w:val="00CE5574"/>
    <w:rsid w:val="00CE5EAA"/>
    <w:rsid w:val="00CE6334"/>
    <w:rsid w:val="00CE77A3"/>
    <w:rsid w:val="00CF09CB"/>
    <w:rsid w:val="00CF10E5"/>
    <w:rsid w:val="00CF14AC"/>
    <w:rsid w:val="00CF1731"/>
    <w:rsid w:val="00CF17C1"/>
    <w:rsid w:val="00CF1DBB"/>
    <w:rsid w:val="00CF1E06"/>
    <w:rsid w:val="00CF1ECF"/>
    <w:rsid w:val="00CF2101"/>
    <w:rsid w:val="00CF22DD"/>
    <w:rsid w:val="00CF2B8B"/>
    <w:rsid w:val="00CF2FA9"/>
    <w:rsid w:val="00CF303E"/>
    <w:rsid w:val="00CF356A"/>
    <w:rsid w:val="00CF529E"/>
    <w:rsid w:val="00CF533E"/>
    <w:rsid w:val="00CF5C06"/>
    <w:rsid w:val="00CF5EE2"/>
    <w:rsid w:val="00CF6143"/>
    <w:rsid w:val="00CF65CD"/>
    <w:rsid w:val="00CF7447"/>
    <w:rsid w:val="00CF766F"/>
    <w:rsid w:val="00CF7DCA"/>
    <w:rsid w:val="00CF7F1C"/>
    <w:rsid w:val="00D00308"/>
    <w:rsid w:val="00D00325"/>
    <w:rsid w:val="00D006D9"/>
    <w:rsid w:val="00D01039"/>
    <w:rsid w:val="00D021EA"/>
    <w:rsid w:val="00D02215"/>
    <w:rsid w:val="00D02628"/>
    <w:rsid w:val="00D02D6A"/>
    <w:rsid w:val="00D02D8E"/>
    <w:rsid w:val="00D03B4D"/>
    <w:rsid w:val="00D03C95"/>
    <w:rsid w:val="00D0444C"/>
    <w:rsid w:val="00D04A91"/>
    <w:rsid w:val="00D0590E"/>
    <w:rsid w:val="00D05AF3"/>
    <w:rsid w:val="00D0684A"/>
    <w:rsid w:val="00D06E28"/>
    <w:rsid w:val="00D07A10"/>
    <w:rsid w:val="00D07B23"/>
    <w:rsid w:val="00D10B70"/>
    <w:rsid w:val="00D1113F"/>
    <w:rsid w:val="00D111BB"/>
    <w:rsid w:val="00D114BF"/>
    <w:rsid w:val="00D11A30"/>
    <w:rsid w:val="00D12A94"/>
    <w:rsid w:val="00D12F2C"/>
    <w:rsid w:val="00D13300"/>
    <w:rsid w:val="00D133CB"/>
    <w:rsid w:val="00D143EE"/>
    <w:rsid w:val="00D144D9"/>
    <w:rsid w:val="00D14A4C"/>
    <w:rsid w:val="00D152BF"/>
    <w:rsid w:val="00D16E9A"/>
    <w:rsid w:val="00D17FF5"/>
    <w:rsid w:val="00D20C0A"/>
    <w:rsid w:val="00D20C67"/>
    <w:rsid w:val="00D21E76"/>
    <w:rsid w:val="00D22DE0"/>
    <w:rsid w:val="00D22F9F"/>
    <w:rsid w:val="00D23477"/>
    <w:rsid w:val="00D23952"/>
    <w:rsid w:val="00D2401A"/>
    <w:rsid w:val="00D2433F"/>
    <w:rsid w:val="00D258F6"/>
    <w:rsid w:val="00D25976"/>
    <w:rsid w:val="00D25A73"/>
    <w:rsid w:val="00D25AB4"/>
    <w:rsid w:val="00D25B97"/>
    <w:rsid w:val="00D26A0B"/>
    <w:rsid w:val="00D30AAF"/>
    <w:rsid w:val="00D31D4A"/>
    <w:rsid w:val="00D31DDA"/>
    <w:rsid w:val="00D3217E"/>
    <w:rsid w:val="00D32312"/>
    <w:rsid w:val="00D32B7F"/>
    <w:rsid w:val="00D3393E"/>
    <w:rsid w:val="00D33C72"/>
    <w:rsid w:val="00D341C9"/>
    <w:rsid w:val="00D3420D"/>
    <w:rsid w:val="00D34340"/>
    <w:rsid w:val="00D343B9"/>
    <w:rsid w:val="00D344A1"/>
    <w:rsid w:val="00D346AB"/>
    <w:rsid w:val="00D3475C"/>
    <w:rsid w:val="00D34CC9"/>
    <w:rsid w:val="00D3521E"/>
    <w:rsid w:val="00D353BB"/>
    <w:rsid w:val="00D3548D"/>
    <w:rsid w:val="00D35569"/>
    <w:rsid w:val="00D35854"/>
    <w:rsid w:val="00D35CBE"/>
    <w:rsid w:val="00D35FFE"/>
    <w:rsid w:val="00D36DF6"/>
    <w:rsid w:val="00D36EE4"/>
    <w:rsid w:val="00D37C35"/>
    <w:rsid w:val="00D4068D"/>
    <w:rsid w:val="00D40F55"/>
    <w:rsid w:val="00D41C98"/>
    <w:rsid w:val="00D4233D"/>
    <w:rsid w:val="00D423AC"/>
    <w:rsid w:val="00D42B62"/>
    <w:rsid w:val="00D42D46"/>
    <w:rsid w:val="00D437B8"/>
    <w:rsid w:val="00D43EBA"/>
    <w:rsid w:val="00D44DCA"/>
    <w:rsid w:val="00D455C8"/>
    <w:rsid w:val="00D4623F"/>
    <w:rsid w:val="00D462EB"/>
    <w:rsid w:val="00D46495"/>
    <w:rsid w:val="00D4744C"/>
    <w:rsid w:val="00D477E9"/>
    <w:rsid w:val="00D47CFC"/>
    <w:rsid w:val="00D501D7"/>
    <w:rsid w:val="00D50EF2"/>
    <w:rsid w:val="00D5139B"/>
    <w:rsid w:val="00D517B7"/>
    <w:rsid w:val="00D522F3"/>
    <w:rsid w:val="00D52655"/>
    <w:rsid w:val="00D52993"/>
    <w:rsid w:val="00D52AB7"/>
    <w:rsid w:val="00D52DEA"/>
    <w:rsid w:val="00D52EB9"/>
    <w:rsid w:val="00D53093"/>
    <w:rsid w:val="00D534FB"/>
    <w:rsid w:val="00D54850"/>
    <w:rsid w:val="00D54E82"/>
    <w:rsid w:val="00D56444"/>
    <w:rsid w:val="00D56A0F"/>
    <w:rsid w:val="00D56A46"/>
    <w:rsid w:val="00D57329"/>
    <w:rsid w:val="00D57497"/>
    <w:rsid w:val="00D578EF"/>
    <w:rsid w:val="00D6127E"/>
    <w:rsid w:val="00D6129A"/>
    <w:rsid w:val="00D618C7"/>
    <w:rsid w:val="00D61B9D"/>
    <w:rsid w:val="00D6269E"/>
    <w:rsid w:val="00D62BC6"/>
    <w:rsid w:val="00D6324E"/>
    <w:rsid w:val="00D63ACF"/>
    <w:rsid w:val="00D6467D"/>
    <w:rsid w:val="00D64A91"/>
    <w:rsid w:val="00D64BE6"/>
    <w:rsid w:val="00D64E80"/>
    <w:rsid w:val="00D653C3"/>
    <w:rsid w:val="00D65A07"/>
    <w:rsid w:val="00D65B4F"/>
    <w:rsid w:val="00D6651D"/>
    <w:rsid w:val="00D66A35"/>
    <w:rsid w:val="00D66CA4"/>
    <w:rsid w:val="00D66F60"/>
    <w:rsid w:val="00D67014"/>
    <w:rsid w:val="00D67437"/>
    <w:rsid w:val="00D674E7"/>
    <w:rsid w:val="00D6757D"/>
    <w:rsid w:val="00D67A8C"/>
    <w:rsid w:val="00D67C08"/>
    <w:rsid w:val="00D7041D"/>
    <w:rsid w:val="00D70592"/>
    <w:rsid w:val="00D7187D"/>
    <w:rsid w:val="00D7318F"/>
    <w:rsid w:val="00D73898"/>
    <w:rsid w:val="00D741CC"/>
    <w:rsid w:val="00D74272"/>
    <w:rsid w:val="00D745C9"/>
    <w:rsid w:val="00D7501E"/>
    <w:rsid w:val="00D7566A"/>
    <w:rsid w:val="00D762BE"/>
    <w:rsid w:val="00D764DF"/>
    <w:rsid w:val="00D768B4"/>
    <w:rsid w:val="00D7691F"/>
    <w:rsid w:val="00D777FE"/>
    <w:rsid w:val="00D77E04"/>
    <w:rsid w:val="00D77E76"/>
    <w:rsid w:val="00D800B7"/>
    <w:rsid w:val="00D80326"/>
    <w:rsid w:val="00D8094A"/>
    <w:rsid w:val="00D80B95"/>
    <w:rsid w:val="00D8187F"/>
    <w:rsid w:val="00D81F94"/>
    <w:rsid w:val="00D81F9D"/>
    <w:rsid w:val="00D821EE"/>
    <w:rsid w:val="00D8285A"/>
    <w:rsid w:val="00D82A54"/>
    <w:rsid w:val="00D84B97"/>
    <w:rsid w:val="00D84E7F"/>
    <w:rsid w:val="00D85379"/>
    <w:rsid w:val="00D856C7"/>
    <w:rsid w:val="00D85CDF"/>
    <w:rsid w:val="00D860A8"/>
    <w:rsid w:val="00D8679F"/>
    <w:rsid w:val="00D87328"/>
    <w:rsid w:val="00D87408"/>
    <w:rsid w:val="00D8748C"/>
    <w:rsid w:val="00D87855"/>
    <w:rsid w:val="00D87AFA"/>
    <w:rsid w:val="00D87EE2"/>
    <w:rsid w:val="00D904BF"/>
    <w:rsid w:val="00D90554"/>
    <w:rsid w:val="00D90646"/>
    <w:rsid w:val="00D91004"/>
    <w:rsid w:val="00D91C6F"/>
    <w:rsid w:val="00D9206D"/>
    <w:rsid w:val="00D9240E"/>
    <w:rsid w:val="00D928A7"/>
    <w:rsid w:val="00D92987"/>
    <w:rsid w:val="00D92D0B"/>
    <w:rsid w:val="00D92F5A"/>
    <w:rsid w:val="00D9307D"/>
    <w:rsid w:val="00D93917"/>
    <w:rsid w:val="00D939AE"/>
    <w:rsid w:val="00D93BB8"/>
    <w:rsid w:val="00D941CD"/>
    <w:rsid w:val="00D941FD"/>
    <w:rsid w:val="00D96C43"/>
    <w:rsid w:val="00D96FB3"/>
    <w:rsid w:val="00D972EA"/>
    <w:rsid w:val="00D97B91"/>
    <w:rsid w:val="00D97D8E"/>
    <w:rsid w:val="00DA0284"/>
    <w:rsid w:val="00DA0A65"/>
    <w:rsid w:val="00DA0B8E"/>
    <w:rsid w:val="00DA1756"/>
    <w:rsid w:val="00DA1CEB"/>
    <w:rsid w:val="00DA21ED"/>
    <w:rsid w:val="00DA22C6"/>
    <w:rsid w:val="00DA25F9"/>
    <w:rsid w:val="00DA262F"/>
    <w:rsid w:val="00DA2C70"/>
    <w:rsid w:val="00DA2DF5"/>
    <w:rsid w:val="00DA34C9"/>
    <w:rsid w:val="00DA38FC"/>
    <w:rsid w:val="00DA3A4E"/>
    <w:rsid w:val="00DA4FF9"/>
    <w:rsid w:val="00DA55DF"/>
    <w:rsid w:val="00DA68A7"/>
    <w:rsid w:val="00DA6D67"/>
    <w:rsid w:val="00DB0103"/>
    <w:rsid w:val="00DB1605"/>
    <w:rsid w:val="00DB19CD"/>
    <w:rsid w:val="00DB1B0E"/>
    <w:rsid w:val="00DB285C"/>
    <w:rsid w:val="00DB28FB"/>
    <w:rsid w:val="00DB29CE"/>
    <w:rsid w:val="00DB2CE6"/>
    <w:rsid w:val="00DB2EF9"/>
    <w:rsid w:val="00DB3625"/>
    <w:rsid w:val="00DB381D"/>
    <w:rsid w:val="00DB38AB"/>
    <w:rsid w:val="00DB428A"/>
    <w:rsid w:val="00DB4AEE"/>
    <w:rsid w:val="00DB4B33"/>
    <w:rsid w:val="00DB4F5E"/>
    <w:rsid w:val="00DB4FA2"/>
    <w:rsid w:val="00DB54D9"/>
    <w:rsid w:val="00DB5AB6"/>
    <w:rsid w:val="00DB5F54"/>
    <w:rsid w:val="00DB5FD3"/>
    <w:rsid w:val="00DB634C"/>
    <w:rsid w:val="00DB6747"/>
    <w:rsid w:val="00DB6766"/>
    <w:rsid w:val="00DB719E"/>
    <w:rsid w:val="00DB7E36"/>
    <w:rsid w:val="00DC021E"/>
    <w:rsid w:val="00DC03AA"/>
    <w:rsid w:val="00DC03E2"/>
    <w:rsid w:val="00DC0FD7"/>
    <w:rsid w:val="00DC177B"/>
    <w:rsid w:val="00DC1910"/>
    <w:rsid w:val="00DC3AE6"/>
    <w:rsid w:val="00DC3E7A"/>
    <w:rsid w:val="00DC43A1"/>
    <w:rsid w:val="00DC4CF9"/>
    <w:rsid w:val="00DC53BB"/>
    <w:rsid w:val="00DC57D6"/>
    <w:rsid w:val="00DC5901"/>
    <w:rsid w:val="00DC5D4F"/>
    <w:rsid w:val="00DC684D"/>
    <w:rsid w:val="00DC6A00"/>
    <w:rsid w:val="00DC6A26"/>
    <w:rsid w:val="00DC74BD"/>
    <w:rsid w:val="00DC7577"/>
    <w:rsid w:val="00DC772C"/>
    <w:rsid w:val="00DC79B3"/>
    <w:rsid w:val="00DC7CAF"/>
    <w:rsid w:val="00DD03DC"/>
    <w:rsid w:val="00DD05C8"/>
    <w:rsid w:val="00DD0672"/>
    <w:rsid w:val="00DD0681"/>
    <w:rsid w:val="00DD098F"/>
    <w:rsid w:val="00DD16AF"/>
    <w:rsid w:val="00DD19F2"/>
    <w:rsid w:val="00DD1C00"/>
    <w:rsid w:val="00DD1EDC"/>
    <w:rsid w:val="00DD20C3"/>
    <w:rsid w:val="00DD2385"/>
    <w:rsid w:val="00DD2481"/>
    <w:rsid w:val="00DD2C3C"/>
    <w:rsid w:val="00DD2E04"/>
    <w:rsid w:val="00DD3003"/>
    <w:rsid w:val="00DD41EF"/>
    <w:rsid w:val="00DD4A8E"/>
    <w:rsid w:val="00DD4B4A"/>
    <w:rsid w:val="00DD4B50"/>
    <w:rsid w:val="00DD4BB3"/>
    <w:rsid w:val="00DD4CED"/>
    <w:rsid w:val="00DD4FB0"/>
    <w:rsid w:val="00DD4FBE"/>
    <w:rsid w:val="00DD518C"/>
    <w:rsid w:val="00DD685A"/>
    <w:rsid w:val="00DD6A15"/>
    <w:rsid w:val="00DD7416"/>
    <w:rsid w:val="00DD7C72"/>
    <w:rsid w:val="00DD7CA9"/>
    <w:rsid w:val="00DD7DC9"/>
    <w:rsid w:val="00DE0100"/>
    <w:rsid w:val="00DE0AC6"/>
    <w:rsid w:val="00DE0B06"/>
    <w:rsid w:val="00DE0D7C"/>
    <w:rsid w:val="00DE12B4"/>
    <w:rsid w:val="00DE19F8"/>
    <w:rsid w:val="00DE1AA5"/>
    <w:rsid w:val="00DE23B5"/>
    <w:rsid w:val="00DE28CF"/>
    <w:rsid w:val="00DE2ACB"/>
    <w:rsid w:val="00DE2C35"/>
    <w:rsid w:val="00DE305E"/>
    <w:rsid w:val="00DE349F"/>
    <w:rsid w:val="00DE49F7"/>
    <w:rsid w:val="00DE4D58"/>
    <w:rsid w:val="00DE4F2B"/>
    <w:rsid w:val="00DE559B"/>
    <w:rsid w:val="00DE614B"/>
    <w:rsid w:val="00DE635E"/>
    <w:rsid w:val="00DE65C3"/>
    <w:rsid w:val="00DE72DA"/>
    <w:rsid w:val="00DE7797"/>
    <w:rsid w:val="00DE78D2"/>
    <w:rsid w:val="00DE7E7A"/>
    <w:rsid w:val="00DE7EBF"/>
    <w:rsid w:val="00DF047E"/>
    <w:rsid w:val="00DF0C4C"/>
    <w:rsid w:val="00DF0FEB"/>
    <w:rsid w:val="00DF1342"/>
    <w:rsid w:val="00DF19FA"/>
    <w:rsid w:val="00DF1AC7"/>
    <w:rsid w:val="00DF1AD0"/>
    <w:rsid w:val="00DF201D"/>
    <w:rsid w:val="00DF295E"/>
    <w:rsid w:val="00DF2A18"/>
    <w:rsid w:val="00DF2CD6"/>
    <w:rsid w:val="00DF2F98"/>
    <w:rsid w:val="00DF3797"/>
    <w:rsid w:val="00DF3922"/>
    <w:rsid w:val="00DF3C5C"/>
    <w:rsid w:val="00DF5403"/>
    <w:rsid w:val="00DF5B95"/>
    <w:rsid w:val="00DF64C5"/>
    <w:rsid w:val="00DF651C"/>
    <w:rsid w:val="00DF67C1"/>
    <w:rsid w:val="00DF6CD6"/>
    <w:rsid w:val="00DF779D"/>
    <w:rsid w:val="00DF7F15"/>
    <w:rsid w:val="00E005E0"/>
    <w:rsid w:val="00E007C9"/>
    <w:rsid w:val="00E00926"/>
    <w:rsid w:val="00E00E9A"/>
    <w:rsid w:val="00E01098"/>
    <w:rsid w:val="00E01794"/>
    <w:rsid w:val="00E018EC"/>
    <w:rsid w:val="00E0225F"/>
    <w:rsid w:val="00E0263F"/>
    <w:rsid w:val="00E02FE5"/>
    <w:rsid w:val="00E03575"/>
    <w:rsid w:val="00E039C6"/>
    <w:rsid w:val="00E03D54"/>
    <w:rsid w:val="00E04E40"/>
    <w:rsid w:val="00E04E66"/>
    <w:rsid w:val="00E05319"/>
    <w:rsid w:val="00E05679"/>
    <w:rsid w:val="00E05748"/>
    <w:rsid w:val="00E057AB"/>
    <w:rsid w:val="00E05AFF"/>
    <w:rsid w:val="00E06207"/>
    <w:rsid w:val="00E0700D"/>
    <w:rsid w:val="00E07256"/>
    <w:rsid w:val="00E07686"/>
    <w:rsid w:val="00E07DF9"/>
    <w:rsid w:val="00E109C7"/>
    <w:rsid w:val="00E110CF"/>
    <w:rsid w:val="00E112E8"/>
    <w:rsid w:val="00E114DE"/>
    <w:rsid w:val="00E12102"/>
    <w:rsid w:val="00E1273C"/>
    <w:rsid w:val="00E130FD"/>
    <w:rsid w:val="00E148CE"/>
    <w:rsid w:val="00E149A9"/>
    <w:rsid w:val="00E14AE2"/>
    <w:rsid w:val="00E15B04"/>
    <w:rsid w:val="00E16A31"/>
    <w:rsid w:val="00E177D3"/>
    <w:rsid w:val="00E1784E"/>
    <w:rsid w:val="00E17A28"/>
    <w:rsid w:val="00E206EF"/>
    <w:rsid w:val="00E207DA"/>
    <w:rsid w:val="00E2110F"/>
    <w:rsid w:val="00E21172"/>
    <w:rsid w:val="00E21653"/>
    <w:rsid w:val="00E21F01"/>
    <w:rsid w:val="00E223A8"/>
    <w:rsid w:val="00E22829"/>
    <w:rsid w:val="00E22BCE"/>
    <w:rsid w:val="00E23307"/>
    <w:rsid w:val="00E2446E"/>
    <w:rsid w:val="00E25183"/>
    <w:rsid w:val="00E26072"/>
    <w:rsid w:val="00E263F1"/>
    <w:rsid w:val="00E2643F"/>
    <w:rsid w:val="00E26A7C"/>
    <w:rsid w:val="00E26B93"/>
    <w:rsid w:val="00E277A7"/>
    <w:rsid w:val="00E27E9A"/>
    <w:rsid w:val="00E300DF"/>
    <w:rsid w:val="00E304D5"/>
    <w:rsid w:val="00E3059C"/>
    <w:rsid w:val="00E315E3"/>
    <w:rsid w:val="00E32113"/>
    <w:rsid w:val="00E33AF7"/>
    <w:rsid w:val="00E33BAC"/>
    <w:rsid w:val="00E33FCF"/>
    <w:rsid w:val="00E349E9"/>
    <w:rsid w:val="00E34CF1"/>
    <w:rsid w:val="00E34E88"/>
    <w:rsid w:val="00E35DB5"/>
    <w:rsid w:val="00E3602A"/>
    <w:rsid w:val="00E36BED"/>
    <w:rsid w:val="00E36C64"/>
    <w:rsid w:val="00E36ED6"/>
    <w:rsid w:val="00E4094B"/>
    <w:rsid w:val="00E4098C"/>
    <w:rsid w:val="00E40FA1"/>
    <w:rsid w:val="00E40FAB"/>
    <w:rsid w:val="00E41052"/>
    <w:rsid w:val="00E411A0"/>
    <w:rsid w:val="00E4186E"/>
    <w:rsid w:val="00E41930"/>
    <w:rsid w:val="00E41B7A"/>
    <w:rsid w:val="00E42079"/>
    <w:rsid w:val="00E424A1"/>
    <w:rsid w:val="00E42791"/>
    <w:rsid w:val="00E4302C"/>
    <w:rsid w:val="00E43212"/>
    <w:rsid w:val="00E43D8D"/>
    <w:rsid w:val="00E443EB"/>
    <w:rsid w:val="00E44929"/>
    <w:rsid w:val="00E44CD6"/>
    <w:rsid w:val="00E459AC"/>
    <w:rsid w:val="00E459D0"/>
    <w:rsid w:val="00E45C26"/>
    <w:rsid w:val="00E46160"/>
    <w:rsid w:val="00E4618F"/>
    <w:rsid w:val="00E46912"/>
    <w:rsid w:val="00E47FCA"/>
    <w:rsid w:val="00E503E4"/>
    <w:rsid w:val="00E51BA9"/>
    <w:rsid w:val="00E52870"/>
    <w:rsid w:val="00E52A30"/>
    <w:rsid w:val="00E52CA8"/>
    <w:rsid w:val="00E52FE7"/>
    <w:rsid w:val="00E53D26"/>
    <w:rsid w:val="00E53F0C"/>
    <w:rsid w:val="00E5427B"/>
    <w:rsid w:val="00E54824"/>
    <w:rsid w:val="00E548ED"/>
    <w:rsid w:val="00E54B31"/>
    <w:rsid w:val="00E54F56"/>
    <w:rsid w:val="00E5538F"/>
    <w:rsid w:val="00E56172"/>
    <w:rsid w:val="00E565E4"/>
    <w:rsid w:val="00E56D3E"/>
    <w:rsid w:val="00E56DC3"/>
    <w:rsid w:val="00E56E9F"/>
    <w:rsid w:val="00E571E8"/>
    <w:rsid w:val="00E574AC"/>
    <w:rsid w:val="00E574C1"/>
    <w:rsid w:val="00E575D6"/>
    <w:rsid w:val="00E57747"/>
    <w:rsid w:val="00E57F72"/>
    <w:rsid w:val="00E60314"/>
    <w:rsid w:val="00E610FB"/>
    <w:rsid w:val="00E612C9"/>
    <w:rsid w:val="00E6158D"/>
    <w:rsid w:val="00E61ACF"/>
    <w:rsid w:val="00E6231E"/>
    <w:rsid w:val="00E62CE8"/>
    <w:rsid w:val="00E62D54"/>
    <w:rsid w:val="00E6376B"/>
    <w:rsid w:val="00E6394F"/>
    <w:rsid w:val="00E6399F"/>
    <w:rsid w:val="00E63F7A"/>
    <w:rsid w:val="00E64A6A"/>
    <w:rsid w:val="00E64DCB"/>
    <w:rsid w:val="00E65F8E"/>
    <w:rsid w:val="00E66D17"/>
    <w:rsid w:val="00E67B86"/>
    <w:rsid w:val="00E708F9"/>
    <w:rsid w:val="00E71A0B"/>
    <w:rsid w:val="00E722BB"/>
    <w:rsid w:val="00E72502"/>
    <w:rsid w:val="00E729C9"/>
    <w:rsid w:val="00E72CA8"/>
    <w:rsid w:val="00E72FC9"/>
    <w:rsid w:val="00E73050"/>
    <w:rsid w:val="00E73197"/>
    <w:rsid w:val="00E731F3"/>
    <w:rsid w:val="00E73276"/>
    <w:rsid w:val="00E735C6"/>
    <w:rsid w:val="00E73896"/>
    <w:rsid w:val="00E73CAA"/>
    <w:rsid w:val="00E73E0C"/>
    <w:rsid w:val="00E73F38"/>
    <w:rsid w:val="00E73F7D"/>
    <w:rsid w:val="00E74A66"/>
    <w:rsid w:val="00E750E0"/>
    <w:rsid w:val="00E75186"/>
    <w:rsid w:val="00E75435"/>
    <w:rsid w:val="00E755AC"/>
    <w:rsid w:val="00E75749"/>
    <w:rsid w:val="00E75916"/>
    <w:rsid w:val="00E759EC"/>
    <w:rsid w:val="00E76806"/>
    <w:rsid w:val="00E76C70"/>
    <w:rsid w:val="00E770AB"/>
    <w:rsid w:val="00E80F07"/>
    <w:rsid w:val="00E815CE"/>
    <w:rsid w:val="00E81B03"/>
    <w:rsid w:val="00E81E3F"/>
    <w:rsid w:val="00E82003"/>
    <w:rsid w:val="00E823F6"/>
    <w:rsid w:val="00E825D4"/>
    <w:rsid w:val="00E82C9B"/>
    <w:rsid w:val="00E833E3"/>
    <w:rsid w:val="00E8358C"/>
    <w:rsid w:val="00E835C1"/>
    <w:rsid w:val="00E844EB"/>
    <w:rsid w:val="00E845AB"/>
    <w:rsid w:val="00E84B23"/>
    <w:rsid w:val="00E84C45"/>
    <w:rsid w:val="00E84E9E"/>
    <w:rsid w:val="00E8526A"/>
    <w:rsid w:val="00E859C0"/>
    <w:rsid w:val="00E85A9F"/>
    <w:rsid w:val="00E85CE3"/>
    <w:rsid w:val="00E862BE"/>
    <w:rsid w:val="00E8643F"/>
    <w:rsid w:val="00E86618"/>
    <w:rsid w:val="00E86AD8"/>
    <w:rsid w:val="00E8702E"/>
    <w:rsid w:val="00E90054"/>
    <w:rsid w:val="00E90C0D"/>
    <w:rsid w:val="00E90F8E"/>
    <w:rsid w:val="00E9129F"/>
    <w:rsid w:val="00E912D8"/>
    <w:rsid w:val="00E91668"/>
    <w:rsid w:val="00E91785"/>
    <w:rsid w:val="00E921BF"/>
    <w:rsid w:val="00E92213"/>
    <w:rsid w:val="00E933D4"/>
    <w:rsid w:val="00E94964"/>
    <w:rsid w:val="00E9591C"/>
    <w:rsid w:val="00E960EA"/>
    <w:rsid w:val="00E9616A"/>
    <w:rsid w:val="00E962A8"/>
    <w:rsid w:val="00E9688E"/>
    <w:rsid w:val="00E96AC8"/>
    <w:rsid w:val="00E971CF"/>
    <w:rsid w:val="00E9768F"/>
    <w:rsid w:val="00E97829"/>
    <w:rsid w:val="00E97CDD"/>
    <w:rsid w:val="00EA0324"/>
    <w:rsid w:val="00EA1457"/>
    <w:rsid w:val="00EA1FE3"/>
    <w:rsid w:val="00EA2006"/>
    <w:rsid w:val="00EA2150"/>
    <w:rsid w:val="00EA3216"/>
    <w:rsid w:val="00EA3351"/>
    <w:rsid w:val="00EA3D1F"/>
    <w:rsid w:val="00EA41E6"/>
    <w:rsid w:val="00EA4C2A"/>
    <w:rsid w:val="00EA55D6"/>
    <w:rsid w:val="00EA583D"/>
    <w:rsid w:val="00EA6209"/>
    <w:rsid w:val="00EA6302"/>
    <w:rsid w:val="00EA63CA"/>
    <w:rsid w:val="00EA651A"/>
    <w:rsid w:val="00EA6AA1"/>
    <w:rsid w:val="00EA6ADE"/>
    <w:rsid w:val="00EA728D"/>
    <w:rsid w:val="00EB026A"/>
    <w:rsid w:val="00EB03E9"/>
    <w:rsid w:val="00EB0C49"/>
    <w:rsid w:val="00EB0F72"/>
    <w:rsid w:val="00EB153D"/>
    <w:rsid w:val="00EB1559"/>
    <w:rsid w:val="00EB1A71"/>
    <w:rsid w:val="00EB1F73"/>
    <w:rsid w:val="00EB2A70"/>
    <w:rsid w:val="00EB2C4D"/>
    <w:rsid w:val="00EB33CD"/>
    <w:rsid w:val="00EB360E"/>
    <w:rsid w:val="00EB3887"/>
    <w:rsid w:val="00EB3954"/>
    <w:rsid w:val="00EB5020"/>
    <w:rsid w:val="00EB54FF"/>
    <w:rsid w:val="00EB594D"/>
    <w:rsid w:val="00EB6846"/>
    <w:rsid w:val="00EB6EA4"/>
    <w:rsid w:val="00EB6F0C"/>
    <w:rsid w:val="00EB70B1"/>
    <w:rsid w:val="00EB7400"/>
    <w:rsid w:val="00EC07BB"/>
    <w:rsid w:val="00EC0AA8"/>
    <w:rsid w:val="00EC0B47"/>
    <w:rsid w:val="00EC0BEE"/>
    <w:rsid w:val="00EC16A9"/>
    <w:rsid w:val="00EC21CE"/>
    <w:rsid w:val="00EC25C2"/>
    <w:rsid w:val="00EC2923"/>
    <w:rsid w:val="00EC2A07"/>
    <w:rsid w:val="00EC2C16"/>
    <w:rsid w:val="00EC2CA4"/>
    <w:rsid w:val="00EC3830"/>
    <w:rsid w:val="00EC4B99"/>
    <w:rsid w:val="00EC4E3E"/>
    <w:rsid w:val="00EC56B3"/>
    <w:rsid w:val="00EC5C45"/>
    <w:rsid w:val="00EC60F8"/>
    <w:rsid w:val="00EC6254"/>
    <w:rsid w:val="00EC7114"/>
    <w:rsid w:val="00EC759B"/>
    <w:rsid w:val="00EC75BC"/>
    <w:rsid w:val="00EC77FC"/>
    <w:rsid w:val="00EC7AF6"/>
    <w:rsid w:val="00EC7BC1"/>
    <w:rsid w:val="00ED002C"/>
    <w:rsid w:val="00ED14C3"/>
    <w:rsid w:val="00ED18A8"/>
    <w:rsid w:val="00ED2213"/>
    <w:rsid w:val="00ED23A7"/>
    <w:rsid w:val="00ED26F7"/>
    <w:rsid w:val="00ED2A6D"/>
    <w:rsid w:val="00ED2FFA"/>
    <w:rsid w:val="00ED36C7"/>
    <w:rsid w:val="00ED3A35"/>
    <w:rsid w:val="00ED4071"/>
    <w:rsid w:val="00ED40D7"/>
    <w:rsid w:val="00ED492E"/>
    <w:rsid w:val="00ED5A47"/>
    <w:rsid w:val="00ED5F10"/>
    <w:rsid w:val="00ED6168"/>
    <w:rsid w:val="00ED6488"/>
    <w:rsid w:val="00ED7447"/>
    <w:rsid w:val="00ED769D"/>
    <w:rsid w:val="00ED7987"/>
    <w:rsid w:val="00ED7EAE"/>
    <w:rsid w:val="00EE00AC"/>
    <w:rsid w:val="00EE06FF"/>
    <w:rsid w:val="00EE109A"/>
    <w:rsid w:val="00EE13FF"/>
    <w:rsid w:val="00EE14A4"/>
    <w:rsid w:val="00EE1D30"/>
    <w:rsid w:val="00EE2288"/>
    <w:rsid w:val="00EE2376"/>
    <w:rsid w:val="00EE24A9"/>
    <w:rsid w:val="00EE35FF"/>
    <w:rsid w:val="00EE4670"/>
    <w:rsid w:val="00EE4800"/>
    <w:rsid w:val="00EE4A6F"/>
    <w:rsid w:val="00EE5CE5"/>
    <w:rsid w:val="00EE5EFB"/>
    <w:rsid w:val="00EE5F34"/>
    <w:rsid w:val="00EE671C"/>
    <w:rsid w:val="00EE6CD8"/>
    <w:rsid w:val="00EE766F"/>
    <w:rsid w:val="00EE7B70"/>
    <w:rsid w:val="00EE7D68"/>
    <w:rsid w:val="00EF05BE"/>
    <w:rsid w:val="00EF0767"/>
    <w:rsid w:val="00EF0783"/>
    <w:rsid w:val="00EF14BB"/>
    <w:rsid w:val="00EF1992"/>
    <w:rsid w:val="00EF1D82"/>
    <w:rsid w:val="00EF1EC9"/>
    <w:rsid w:val="00EF246C"/>
    <w:rsid w:val="00EF2917"/>
    <w:rsid w:val="00EF32A3"/>
    <w:rsid w:val="00EF32E6"/>
    <w:rsid w:val="00EF3989"/>
    <w:rsid w:val="00EF3CAF"/>
    <w:rsid w:val="00EF3F3D"/>
    <w:rsid w:val="00EF468D"/>
    <w:rsid w:val="00EF4992"/>
    <w:rsid w:val="00EF4E4A"/>
    <w:rsid w:val="00EF51FB"/>
    <w:rsid w:val="00EF5CC2"/>
    <w:rsid w:val="00EF6249"/>
    <w:rsid w:val="00EF6476"/>
    <w:rsid w:val="00EF6750"/>
    <w:rsid w:val="00EF6A35"/>
    <w:rsid w:val="00EF6A63"/>
    <w:rsid w:val="00F00C1F"/>
    <w:rsid w:val="00F00DAF"/>
    <w:rsid w:val="00F00DEE"/>
    <w:rsid w:val="00F01B22"/>
    <w:rsid w:val="00F01D81"/>
    <w:rsid w:val="00F02789"/>
    <w:rsid w:val="00F02F7C"/>
    <w:rsid w:val="00F03665"/>
    <w:rsid w:val="00F03A43"/>
    <w:rsid w:val="00F041BC"/>
    <w:rsid w:val="00F04AD5"/>
    <w:rsid w:val="00F04BC2"/>
    <w:rsid w:val="00F0527A"/>
    <w:rsid w:val="00F05D96"/>
    <w:rsid w:val="00F05DD6"/>
    <w:rsid w:val="00F06212"/>
    <w:rsid w:val="00F062CA"/>
    <w:rsid w:val="00F0657E"/>
    <w:rsid w:val="00F06747"/>
    <w:rsid w:val="00F067F7"/>
    <w:rsid w:val="00F06830"/>
    <w:rsid w:val="00F06FCC"/>
    <w:rsid w:val="00F07329"/>
    <w:rsid w:val="00F0732F"/>
    <w:rsid w:val="00F0753D"/>
    <w:rsid w:val="00F07952"/>
    <w:rsid w:val="00F07B58"/>
    <w:rsid w:val="00F07C01"/>
    <w:rsid w:val="00F117E2"/>
    <w:rsid w:val="00F11AED"/>
    <w:rsid w:val="00F12DD3"/>
    <w:rsid w:val="00F12F3F"/>
    <w:rsid w:val="00F136CC"/>
    <w:rsid w:val="00F13892"/>
    <w:rsid w:val="00F13D88"/>
    <w:rsid w:val="00F13FE1"/>
    <w:rsid w:val="00F14286"/>
    <w:rsid w:val="00F14FD9"/>
    <w:rsid w:val="00F153C7"/>
    <w:rsid w:val="00F161CA"/>
    <w:rsid w:val="00F16574"/>
    <w:rsid w:val="00F1704A"/>
    <w:rsid w:val="00F171A9"/>
    <w:rsid w:val="00F17428"/>
    <w:rsid w:val="00F17486"/>
    <w:rsid w:val="00F177E1"/>
    <w:rsid w:val="00F2006C"/>
    <w:rsid w:val="00F206AE"/>
    <w:rsid w:val="00F20CAD"/>
    <w:rsid w:val="00F20ED4"/>
    <w:rsid w:val="00F21F16"/>
    <w:rsid w:val="00F220E1"/>
    <w:rsid w:val="00F226D0"/>
    <w:rsid w:val="00F22E28"/>
    <w:rsid w:val="00F23463"/>
    <w:rsid w:val="00F24B6E"/>
    <w:rsid w:val="00F25382"/>
    <w:rsid w:val="00F25E22"/>
    <w:rsid w:val="00F26067"/>
    <w:rsid w:val="00F26B48"/>
    <w:rsid w:val="00F26F10"/>
    <w:rsid w:val="00F27387"/>
    <w:rsid w:val="00F273AB"/>
    <w:rsid w:val="00F27473"/>
    <w:rsid w:val="00F277FF"/>
    <w:rsid w:val="00F307EA"/>
    <w:rsid w:val="00F319CD"/>
    <w:rsid w:val="00F31D8C"/>
    <w:rsid w:val="00F34476"/>
    <w:rsid w:val="00F34E54"/>
    <w:rsid w:val="00F36A57"/>
    <w:rsid w:val="00F36B60"/>
    <w:rsid w:val="00F4012B"/>
    <w:rsid w:val="00F40233"/>
    <w:rsid w:val="00F406A0"/>
    <w:rsid w:val="00F40BDA"/>
    <w:rsid w:val="00F41351"/>
    <w:rsid w:val="00F415B7"/>
    <w:rsid w:val="00F416C5"/>
    <w:rsid w:val="00F41D4D"/>
    <w:rsid w:val="00F42128"/>
    <w:rsid w:val="00F42E53"/>
    <w:rsid w:val="00F43058"/>
    <w:rsid w:val="00F432E1"/>
    <w:rsid w:val="00F43637"/>
    <w:rsid w:val="00F43887"/>
    <w:rsid w:val="00F43937"/>
    <w:rsid w:val="00F43CCA"/>
    <w:rsid w:val="00F43D19"/>
    <w:rsid w:val="00F43F9F"/>
    <w:rsid w:val="00F441B4"/>
    <w:rsid w:val="00F444DE"/>
    <w:rsid w:val="00F4493B"/>
    <w:rsid w:val="00F45EDC"/>
    <w:rsid w:val="00F46299"/>
    <w:rsid w:val="00F46A66"/>
    <w:rsid w:val="00F46A79"/>
    <w:rsid w:val="00F50591"/>
    <w:rsid w:val="00F50744"/>
    <w:rsid w:val="00F50A9D"/>
    <w:rsid w:val="00F51389"/>
    <w:rsid w:val="00F51C20"/>
    <w:rsid w:val="00F5214B"/>
    <w:rsid w:val="00F527EA"/>
    <w:rsid w:val="00F52A85"/>
    <w:rsid w:val="00F52F87"/>
    <w:rsid w:val="00F5330A"/>
    <w:rsid w:val="00F5333E"/>
    <w:rsid w:val="00F5398D"/>
    <w:rsid w:val="00F5431F"/>
    <w:rsid w:val="00F543BD"/>
    <w:rsid w:val="00F5465B"/>
    <w:rsid w:val="00F5487F"/>
    <w:rsid w:val="00F549FD"/>
    <w:rsid w:val="00F54FB2"/>
    <w:rsid w:val="00F554BB"/>
    <w:rsid w:val="00F55C63"/>
    <w:rsid w:val="00F55D9C"/>
    <w:rsid w:val="00F565D7"/>
    <w:rsid w:val="00F573AF"/>
    <w:rsid w:val="00F57AD5"/>
    <w:rsid w:val="00F57B79"/>
    <w:rsid w:val="00F60721"/>
    <w:rsid w:val="00F60D1C"/>
    <w:rsid w:val="00F61ADE"/>
    <w:rsid w:val="00F61C7A"/>
    <w:rsid w:val="00F62878"/>
    <w:rsid w:val="00F62A07"/>
    <w:rsid w:val="00F62AF2"/>
    <w:rsid w:val="00F630C9"/>
    <w:rsid w:val="00F633F6"/>
    <w:rsid w:val="00F6391B"/>
    <w:rsid w:val="00F64427"/>
    <w:rsid w:val="00F65CFA"/>
    <w:rsid w:val="00F65F4C"/>
    <w:rsid w:val="00F65F8A"/>
    <w:rsid w:val="00F65F96"/>
    <w:rsid w:val="00F66345"/>
    <w:rsid w:val="00F6646D"/>
    <w:rsid w:val="00F66526"/>
    <w:rsid w:val="00F668AA"/>
    <w:rsid w:val="00F6728F"/>
    <w:rsid w:val="00F677C9"/>
    <w:rsid w:val="00F678CD"/>
    <w:rsid w:val="00F679F3"/>
    <w:rsid w:val="00F67B25"/>
    <w:rsid w:val="00F70641"/>
    <w:rsid w:val="00F70DAA"/>
    <w:rsid w:val="00F70E38"/>
    <w:rsid w:val="00F71449"/>
    <w:rsid w:val="00F71958"/>
    <w:rsid w:val="00F7204C"/>
    <w:rsid w:val="00F7212E"/>
    <w:rsid w:val="00F72740"/>
    <w:rsid w:val="00F729F3"/>
    <w:rsid w:val="00F72B4E"/>
    <w:rsid w:val="00F72CE6"/>
    <w:rsid w:val="00F72D5B"/>
    <w:rsid w:val="00F73097"/>
    <w:rsid w:val="00F732AB"/>
    <w:rsid w:val="00F75165"/>
    <w:rsid w:val="00F751FD"/>
    <w:rsid w:val="00F75CF8"/>
    <w:rsid w:val="00F7656E"/>
    <w:rsid w:val="00F76FCF"/>
    <w:rsid w:val="00F77299"/>
    <w:rsid w:val="00F77331"/>
    <w:rsid w:val="00F77DE4"/>
    <w:rsid w:val="00F77FC8"/>
    <w:rsid w:val="00F80B83"/>
    <w:rsid w:val="00F811DC"/>
    <w:rsid w:val="00F8256A"/>
    <w:rsid w:val="00F82799"/>
    <w:rsid w:val="00F82942"/>
    <w:rsid w:val="00F82BFF"/>
    <w:rsid w:val="00F82F31"/>
    <w:rsid w:val="00F82F9C"/>
    <w:rsid w:val="00F83611"/>
    <w:rsid w:val="00F842AD"/>
    <w:rsid w:val="00F842EE"/>
    <w:rsid w:val="00F8439D"/>
    <w:rsid w:val="00F84CE5"/>
    <w:rsid w:val="00F851F2"/>
    <w:rsid w:val="00F8525D"/>
    <w:rsid w:val="00F85537"/>
    <w:rsid w:val="00F8637E"/>
    <w:rsid w:val="00F86669"/>
    <w:rsid w:val="00F86D02"/>
    <w:rsid w:val="00F86D90"/>
    <w:rsid w:val="00F875A3"/>
    <w:rsid w:val="00F87A94"/>
    <w:rsid w:val="00F903AA"/>
    <w:rsid w:val="00F90CC9"/>
    <w:rsid w:val="00F912F2"/>
    <w:rsid w:val="00F91526"/>
    <w:rsid w:val="00F915EA"/>
    <w:rsid w:val="00F91D61"/>
    <w:rsid w:val="00F920D5"/>
    <w:rsid w:val="00F927A8"/>
    <w:rsid w:val="00F92DEB"/>
    <w:rsid w:val="00F935EF"/>
    <w:rsid w:val="00F9467A"/>
    <w:rsid w:val="00F948D7"/>
    <w:rsid w:val="00F95D9D"/>
    <w:rsid w:val="00F9637D"/>
    <w:rsid w:val="00F96CD5"/>
    <w:rsid w:val="00F97127"/>
    <w:rsid w:val="00F9735F"/>
    <w:rsid w:val="00F9740C"/>
    <w:rsid w:val="00F97497"/>
    <w:rsid w:val="00F9798D"/>
    <w:rsid w:val="00F97A3E"/>
    <w:rsid w:val="00F97ADF"/>
    <w:rsid w:val="00F97E85"/>
    <w:rsid w:val="00FA0006"/>
    <w:rsid w:val="00FA025C"/>
    <w:rsid w:val="00FA05FB"/>
    <w:rsid w:val="00FA0881"/>
    <w:rsid w:val="00FA0F4D"/>
    <w:rsid w:val="00FA114A"/>
    <w:rsid w:val="00FA136C"/>
    <w:rsid w:val="00FA1A9F"/>
    <w:rsid w:val="00FA1CAD"/>
    <w:rsid w:val="00FA2080"/>
    <w:rsid w:val="00FA22D9"/>
    <w:rsid w:val="00FA232D"/>
    <w:rsid w:val="00FA2B1A"/>
    <w:rsid w:val="00FA375D"/>
    <w:rsid w:val="00FA3D60"/>
    <w:rsid w:val="00FA41F9"/>
    <w:rsid w:val="00FA47F6"/>
    <w:rsid w:val="00FA4AF4"/>
    <w:rsid w:val="00FA5660"/>
    <w:rsid w:val="00FA653F"/>
    <w:rsid w:val="00FA70D9"/>
    <w:rsid w:val="00FA7199"/>
    <w:rsid w:val="00FA7353"/>
    <w:rsid w:val="00FA76FD"/>
    <w:rsid w:val="00FA78C3"/>
    <w:rsid w:val="00FA7DE0"/>
    <w:rsid w:val="00FB045A"/>
    <w:rsid w:val="00FB0528"/>
    <w:rsid w:val="00FB05DA"/>
    <w:rsid w:val="00FB09CE"/>
    <w:rsid w:val="00FB0EBB"/>
    <w:rsid w:val="00FB1072"/>
    <w:rsid w:val="00FB12A5"/>
    <w:rsid w:val="00FB149C"/>
    <w:rsid w:val="00FB17CA"/>
    <w:rsid w:val="00FB18D6"/>
    <w:rsid w:val="00FB1C3E"/>
    <w:rsid w:val="00FB2079"/>
    <w:rsid w:val="00FB20A8"/>
    <w:rsid w:val="00FB214A"/>
    <w:rsid w:val="00FB3667"/>
    <w:rsid w:val="00FB36C5"/>
    <w:rsid w:val="00FB4009"/>
    <w:rsid w:val="00FB48E2"/>
    <w:rsid w:val="00FB49AC"/>
    <w:rsid w:val="00FB4A4C"/>
    <w:rsid w:val="00FB4A5E"/>
    <w:rsid w:val="00FB4BBE"/>
    <w:rsid w:val="00FB4CDC"/>
    <w:rsid w:val="00FB538D"/>
    <w:rsid w:val="00FB5746"/>
    <w:rsid w:val="00FB57E8"/>
    <w:rsid w:val="00FB584B"/>
    <w:rsid w:val="00FB5DE8"/>
    <w:rsid w:val="00FB68F0"/>
    <w:rsid w:val="00FB6C28"/>
    <w:rsid w:val="00FB705A"/>
    <w:rsid w:val="00FB7892"/>
    <w:rsid w:val="00FB7A4B"/>
    <w:rsid w:val="00FC0439"/>
    <w:rsid w:val="00FC068D"/>
    <w:rsid w:val="00FC09E4"/>
    <w:rsid w:val="00FC0EF8"/>
    <w:rsid w:val="00FC1998"/>
    <w:rsid w:val="00FC3122"/>
    <w:rsid w:val="00FC3376"/>
    <w:rsid w:val="00FC3A2F"/>
    <w:rsid w:val="00FC3B50"/>
    <w:rsid w:val="00FC5391"/>
    <w:rsid w:val="00FC56AC"/>
    <w:rsid w:val="00FC577B"/>
    <w:rsid w:val="00FC5D4E"/>
    <w:rsid w:val="00FC5F38"/>
    <w:rsid w:val="00FC62F6"/>
    <w:rsid w:val="00FC6886"/>
    <w:rsid w:val="00FC6E18"/>
    <w:rsid w:val="00FC769C"/>
    <w:rsid w:val="00FC77D6"/>
    <w:rsid w:val="00FC7FAB"/>
    <w:rsid w:val="00FD0039"/>
    <w:rsid w:val="00FD07F3"/>
    <w:rsid w:val="00FD0CE7"/>
    <w:rsid w:val="00FD13D4"/>
    <w:rsid w:val="00FD1740"/>
    <w:rsid w:val="00FD1D99"/>
    <w:rsid w:val="00FD2119"/>
    <w:rsid w:val="00FD221C"/>
    <w:rsid w:val="00FD265A"/>
    <w:rsid w:val="00FD2801"/>
    <w:rsid w:val="00FD2C72"/>
    <w:rsid w:val="00FD31EB"/>
    <w:rsid w:val="00FD3C67"/>
    <w:rsid w:val="00FD3DEA"/>
    <w:rsid w:val="00FD3F26"/>
    <w:rsid w:val="00FD431C"/>
    <w:rsid w:val="00FD460A"/>
    <w:rsid w:val="00FD4DC8"/>
    <w:rsid w:val="00FD4DD8"/>
    <w:rsid w:val="00FD4E1A"/>
    <w:rsid w:val="00FD54A8"/>
    <w:rsid w:val="00FD5AB3"/>
    <w:rsid w:val="00FD5EE5"/>
    <w:rsid w:val="00FD7B5C"/>
    <w:rsid w:val="00FD7E63"/>
    <w:rsid w:val="00FE0407"/>
    <w:rsid w:val="00FE1180"/>
    <w:rsid w:val="00FE17AA"/>
    <w:rsid w:val="00FE21CB"/>
    <w:rsid w:val="00FE258F"/>
    <w:rsid w:val="00FE4453"/>
    <w:rsid w:val="00FE47AD"/>
    <w:rsid w:val="00FE4D58"/>
    <w:rsid w:val="00FE52CB"/>
    <w:rsid w:val="00FE544E"/>
    <w:rsid w:val="00FE63C4"/>
    <w:rsid w:val="00FE6824"/>
    <w:rsid w:val="00FE69EB"/>
    <w:rsid w:val="00FE74CE"/>
    <w:rsid w:val="00FE755A"/>
    <w:rsid w:val="00FE7595"/>
    <w:rsid w:val="00FE7A49"/>
    <w:rsid w:val="00FE7B21"/>
    <w:rsid w:val="00FE7B60"/>
    <w:rsid w:val="00FE7EC3"/>
    <w:rsid w:val="00FF04D0"/>
    <w:rsid w:val="00FF0D9B"/>
    <w:rsid w:val="00FF114A"/>
    <w:rsid w:val="00FF12A4"/>
    <w:rsid w:val="00FF1AD4"/>
    <w:rsid w:val="00FF1D8C"/>
    <w:rsid w:val="00FF4372"/>
    <w:rsid w:val="00FF4606"/>
    <w:rsid w:val="00FF501A"/>
    <w:rsid w:val="00FF501D"/>
    <w:rsid w:val="00FF5105"/>
    <w:rsid w:val="00FF56F3"/>
    <w:rsid w:val="00FF57EC"/>
    <w:rsid w:val="00FF5C87"/>
    <w:rsid w:val="00FF5D1A"/>
    <w:rsid w:val="00FF5FD0"/>
    <w:rsid w:val="00FF61DA"/>
    <w:rsid w:val="00FF61F9"/>
    <w:rsid w:val="00FF67AC"/>
    <w:rsid w:val="00FF6BD8"/>
    <w:rsid w:val="00FF6E93"/>
    <w:rsid w:val="00FF6F89"/>
    <w:rsid w:val="00FF71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3FF158"/>
  <w15:chartTrackingRefBased/>
  <w15:docId w15:val="{8A823BA8-5291-4BE0-8204-1866C4E50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837018"/>
    <w:rPr>
      <w:rFonts w:ascii="Tahoma" w:hAnsi="Tahoma" w:cs="Tahoma"/>
      <w:b w:val="0"/>
      <w:i w:val="0"/>
      <w:caps w:val="0"/>
      <w:strike w:val="0"/>
      <w:sz w:val="16"/>
      <w:szCs w:val="16"/>
      <w:u w:val="none"/>
    </w:rPr>
  </w:style>
  <w:style w:type="paragraph" w:styleId="Textocomentario">
    <w:name w:val="annotation text"/>
    <w:basedOn w:val="Normal"/>
    <w:link w:val="TextocomentarioCar"/>
    <w:uiPriority w:val="99"/>
    <w:unhideWhenUsed/>
    <w:rsid w:val="00837018"/>
    <w:pPr>
      <w:spacing w:line="240" w:lineRule="auto"/>
    </w:pPr>
    <w:rPr>
      <w:rFonts w:ascii="Tahoma" w:hAnsi="Tahoma" w:cs="Tahoma"/>
      <w:sz w:val="16"/>
      <w:szCs w:val="20"/>
    </w:rPr>
  </w:style>
  <w:style w:type="character" w:customStyle="1" w:styleId="TextocomentarioCar">
    <w:name w:val="Texto comentario Car"/>
    <w:basedOn w:val="Fuentedeprrafopredeter"/>
    <w:link w:val="Textocomentario"/>
    <w:uiPriority w:val="99"/>
    <w:rsid w:val="00837018"/>
    <w:rPr>
      <w:rFonts w:ascii="Tahoma" w:hAnsi="Tahoma" w:cs="Tahoma"/>
      <w:sz w:val="16"/>
      <w:szCs w:val="20"/>
      <w:lang w:val="en-US"/>
    </w:rPr>
  </w:style>
  <w:style w:type="paragraph" w:styleId="Asuntodelcomentario">
    <w:name w:val="annotation subject"/>
    <w:basedOn w:val="Textocomentario"/>
    <w:next w:val="Textocomentario"/>
    <w:link w:val="AsuntodelcomentarioCar"/>
    <w:uiPriority w:val="99"/>
    <w:semiHidden/>
    <w:unhideWhenUsed/>
    <w:rsid w:val="00837018"/>
    <w:rPr>
      <w:b/>
      <w:bCs/>
    </w:rPr>
  </w:style>
  <w:style w:type="character" w:customStyle="1" w:styleId="AsuntodelcomentarioCar">
    <w:name w:val="Asunto del comentario Car"/>
    <w:basedOn w:val="TextocomentarioCar"/>
    <w:link w:val="Asuntodelcomentario"/>
    <w:uiPriority w:val="99"/>
    <w:semiHidden/>
    <w:rsid w:val="00837018"/>
    <w:rPr>
      <w:rFonts w:ascii="Tahoma" w:hAnsi="Tahoma" w:cs="Tahoma"/>
      <w:b/>
      <w:bCs/>
      <w:sz w:val="16"/>
      <w:szCs w:val="20"/>
      <w:lang w:val="en-US"/>
    </w:rPr>
  </w:style>
  <w:style w:type="paragraph" w:styleId="Textodeglobo">
    <w:name w:val="Balloon Text"/>
    <w:basedOn w:val="Normal"/>
    <w:link w:val="TextodegloboCar"/>
    <w:uiPriority w:val="99"/>
    <w:semiHidden/>
    <w:unhideWhenUsed/>
    <w:rsid w:val="0083701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37018"/>
    <w:rPr>
      <w:rFonts w:ascii="Segoe UI" w:hAnsi="Segoe UI" w:cs="Segoe UI"/>
      <w:sz w:val="18"/>
      <w:szCs w:val="18"/>
      <w:lang w:val="en-US"/>
    </w:rPr>
  </w:style>
  <w:style w:type="character" w:styleId="Hipervnculo">
    <w:name w:val="Hyperlink"/>
    <w:basedOn w:val="Fuentedeprrafopredeter"/>
    <w:uiPriority w:val="99"/>
    <w:unhideWhenUsed/>
    <w:rsid w:val="00544249"/>
    <w:rPr>
      <w:color w:val="0000FF"/>
      <w:u w:val="single"/>
    </w:rPr>
  </w:style>
  <w:style w:type="character" w:customStyle="1" w:styleId="Mencinsinresolver1">
    <w:name w:val="Mención sin resolver1"/>
    <w:basedOn w:val="Fuentedeprrafopredeter"/>
    <w:uiPriority w:val="99"/>
    <w:semiHidden/>
    <w:unhideWhenUsed/>
    <w:rsid w:val="00451FE2"/>
    <w:rPr>
      <w:color w:val="605E5C"/>
      <w:shd w:val="clear" w:color="auto" w:fill="E1DFDD"/>
    </w:rPr>
  </w:style>
  <w:style w:type="paragraph" w:styleId="NormalWeb">
    <w:name w:val="Normal (Web)"/>
    <w:basedOn w:val="Normal"/>
    <w:uiPriority w:val="99"/>
    <w:semiHidden/>
    <w:unhideWhenUsed/>
    <w:rsid w:val="007F575C"/>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Encabezado">
    <w:name w:val="header"/>
    <w:basedOn w:val="Normal"/>
    <w:link w:val="EncabezadoCar"/>
    <w:uiPriority w:val="99"/>
    <w:unhideWhenUsed/>
    <w:rsid w:val="004C31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C31BE"/>
    <w:rPr>
      <w:lang w:val="en-US"/>
    </w:rPr>
  </w:style>
  <w:style w:type="paragraph" w:styleId="Piedepgina">
    <w:name w:val="footer"/>
    <w:basedOn w:val="Normal"/>
    <w:link w:val="PiedepginaCar"/>
    <w:uiPriority w:val="99"/>
    <w:unhideWhenUsed/>
    <w:rsid w:val="004C31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C31BE"/>
    <w:rPr>
      <w:lang w:val="en-US"/>
    </w:rPr>
  </w:style>
  <w:style w:type="paragraph" w:styleId="Revisin">
    <w:name w:val="Revision"/>
    <w:hidden/>
    <w:uiPriority w:val="99"/>
    <w:semiHidden/>
    <w:rsid w:val="00BF62BC"/>
    <w:pPr>
      <w:spacing w:after="0" w:line="240" w:lineRule="auto"/>
    </w:pPr>
    <w:rPr>
      <w:lang w:val="en-US"/>
    </w:rPr>
  </w:style>
  <w:style w:type="character" w:styleId="Hipervnculovisitado">
    <w:name w:val="FollowedHyperlink"/>
    <w:basedOn w:val="Fuentedeprrafopredeter"/>
    <w:uiPriority w:val="99"/>
    <w:semiHidden/>
    <w:unhideWhenUsed/>
    <w:rsid w:val="00C3743C"/>
    <w:rPr>
      <w:color w:val="954F72" w:themeColor="followedHyperlink"/>
      <w:u w:val="single"/>
    </w:rPr>
  </w:style>
  <w:style w:type="paragraph" w:customStyle="1" w:styleId="Default">
    <w:name w:val="Default"/>
    <w:rsid w:val="004F647B"/>
    <w:pPr>
      <w:autoSpaceDE w:val="0"/>
      <w:autoSpaceDN w:val="0"/>
      <w:adjustRightInd w:val="0"/>
      <w:spacing w:after="0" w:line="240" w:lineRule="auto"/>
    </w:pPr>
    <w:rPr>
      <w:rFonts w:ascii="Times New Roman" w:hAnsi="Times New Roman" w:cs="Times New Roman"/>
      <w:color w:val="000000"/>
      <w:sz w:val="24"/>
      <w:szCs w:val="24"/>
    </w:rPr>
  </w:style>
  <w:style w:type="paragraph" w:styleId="Textonotapie">
    <w:name w:val="footnote text"/>
    <w:basedOn w:val="Normal"/>
    <w:link w:val="TextonotapieCar"/>
    <w:uiPriority w:val="99"/>
    <w:semiHidden/>
    <w:unhideWhenUsed/>
    <w:rsid w:val="0038401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84016"/>
    <w:rPr>
      <w:sz w:val="20"/>
      <w:szCs w:val="20"/>
      <w:lang w:val="en-US"/>
    </w:rPr>
  </w:style>
  <w:style w:type="character" w:styleId="Refdenotaalpie">
    <w:name w:val="footnote reference"/>
    <w:basedOn w:val="Fuentedeprrafopredeter"/>
    <w:uiPriority w:val="99"/>
    <w:semiHidden/>
    <w:unhideWhenUsed/>
    <w:rsid w:val="00384016"/>
    <w:rPr>
      <w:vertAlign w:val="superscript"/>
    </w:rPr>
  </w:style>
  <w:style w:type="character" w:customStyle="1" w:styleId="Mencinsinresolver2">
    <w:name w:val="Mención sin resolver2"/>
    <w:basedOn w:val="Fuentedeprrafopredeter"/>
    <w:uiPriority w:val="99"/>
    <w:semiHidden/>
    <w:unhideWhenUsed/>
    <w:rsid w:val="00215472"/>
    <w:rPr>
      <w:color w:val="605E5C"/>
      <w:shd w:val="clear" w:color="auto" w:fill="E1DFDD"/>
    </w:rPr>
  </w:style>
  <w:style w:type="character" w:customStyle="1" w:styleId="Mencinsinresolver3">
    <w:name w:val="Mención sin resolver3"/>
    <w:basedOn w:val="Fuentedeprrafopredeter"/>
    <w:uiPriority w:val="99"/>
    <w:semiHidden/>
    <w:unhideWhenUsed/>
    <w:rsid w:val="00CA6AD9"/>
    <w:rPr>
      <w:color w:val="605E5C"/>
      <w:shd w:val="clear" w:color="auto" w:fill="E1DFDD"/>
    </w:rPr>
  </w:style>
  <w:style w:type="paragraph" w:styleId="Prrafodelista">
    <w:name w:val="List Paragraph"/>
    <w:basedOn w:val="Normal"/>
    <w:uiPriority w:val="34"/>
    <w:qFormat/>
    <w:rsid w:val="00B21105"/>
    <w:pPr>
      <w:ind w:left="720"/>
      <w:contextualSpacing/>
    </w:pPr>
  </w:style>
  <w:style w:type="character" w:styleId="Textoennegrita">
    <w:name w:val="Strong"/>
    <w:basedOn w:val="Fuentedeprrafopredeter"/>
    <w:uiPriority w:val="22"/>
    <w:qFormat/>
    <w:rsid w:val="00CA157A"/>
    <w:rPr>
      <w:b/>
      <w:bCs/>
    </w:rPr>
  </w:style>
  <w:style w:type="character" w:customStyle="1" w:styleId="UnresolvedMention1">
    <w:name w:val="Unresolved Mention1"/>
    <w:basedOn w:val="Fuentedeprrafopredeter"/>
    <w:uiPriority w:val="99"/>
    <w:semiHidden/>
    <w:unhideWhenUsed/>
    <w:rsid w:val="00B0587D"/>
    <w:rPr>
      <w:color w:val="605E5C"/>
      <w:shd w:val="clear" w:color="auto" w:fill="E1DFDD"/>
    </w:rPr>
  </w:style>
  <w:style w:type="character" w:customStyle="1" w:styleId="author">
    <w:name w:val="author"/>
    <w:basedOn w:val="Fuentedeprrafopredeter"/>
    <w:rsid w:val="008679A9"/>
  </w:style>
  <w:style w:type="character" w:customStyle="1" w:styleId="pubyear">
    <w:name w:val="pubyear"/>
    <w:basedOn w:val="Fuentedeprrafopredeter"/>
    <w:rsid w:val="00D02D8E"/>
  </w:style>
  <w:style w:type="character" w:customStyle="1" w:styleId="articletitle">
    <w:name w:val="articletitle"/>
    <w:basedOn w:val="Fuentedeprrafopredeter"/>
    <w:rsid w:val="00D02D8E"/>
  </w:style>
  <w:style w:type="character" w:customStyle="1" w:styleId="vol">
    <w:name w:val="vol"/>
    <w:basedOn w:val="Fuentedeprrafopredeter"/>
    <w:rsid w:val="00D02D8E"/>
  </w:style>
  <w:style w:type="character" w:customStyle="1" w:styleId="citedissue">
    <w:name w:val="citedissue"/>
    <w:basedOn w:val="Fuentedeprrafopredeter"/>
    <w:rsid w:val="00D02D8E"/>
  </w:style>
  <w:style w:type="character" w:customStyle="1" w:styleId="pagefirst">
    <w:name w:val="pagefirst"/>
    <w:basedOn w:val="Fuentedeprrafopredeter"/>
    <w:rsid w:val="00D02D8E"/>
  </w:style>
  <w:style w:type="character" w:customStyle="1" w:styleId="pagelast">
    <w:name w:val="pagelast"/>
    <w:basedOn w:val="Fuentedeprrafopredeter"/>
    <w:rsid w:val="00D02D8E"/>
  </w:style>
  <w:style w:type="paragraph" w:styleId="Textoindependiente">
    <w:name w:val="Body Text"/>
    <w:basedOn w:val="Normal"/>
    <w:link w:val="TextoindependienteCar"/>
    <w:uiPriority w:val="1"/>
    <w:qFormat/>
    <w:rsid w:val="006E216A"/>
    <w:pPr>
      <w:widowControl w:val="0"/>
      <w:autoSpaceDE w:val="0"/>
      <w:autoSpaceDN w:val="0"/>
      <w:adjustRightInd w:val="0"/>
      <w:spacing w:after="0" w:line="240" w:lineRule="auto"/>
      <w:ind w:left="464" w:hanging="360"/>
    </w:pPr>
    <w:rPr>
      <w:rFonts w:ascii="Times New Roman" w:eastAsiaTheme="minorEastAsia" w:hAnsi="Times New Roman" w:cs="Times New Roman"/>
      <w:lang w:val="ca-ES" w:eastAsia="ca-ES"/>
    </w:rPr>
  </w:style>
  <w:style w:type="character" w:customStyle="1" w:styleId="TextoindependienteCar">
    <w:name w:val="Texto independiente Car"/>
    <w:basedOn w:val="Fuentedeprrafopredeter"/>
    <w:link w:val="Textoindependiente"/>
    <w:uiPriority w:val="1"/>
    <w:rsid w:val="006E216A"/>
    <w:rPr>
      <w:rFonts w:ascii="Times New Roman" w:eastAsiaTheme="minorEastAsia" w:hAnsi="Times New Roman" w:cs="Times New Roman"/>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oomberg.com/news/articles/2019-03-07/trump-said-to-again-seek-deep-cuts-in-renewable-energy-funding" TargetMode="External"/><Relationship Id="rId13" Type="http://schemas.openxmlformats.org/officeDocument/2006/relationships/hyperlink" Target="https://www.spglobal.com/en/research-insights/articles/as-demand-for-green-power-soars-utilities-turn-to-guarantees-of-origin"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wipo.int/ipstats/en/wipi/"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orbes.com/sites/justcapital/2019/04/22/the-top-33-companies-for-the-environment-by-industry/"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https://finance.yahoo.com/news/10-biggest-renewable-energy-stocks-161300416.html" TargetMode="Externa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s://www.businesswire.com/news/home/20190924005777/en/Analysis-28.9-Billion-Green-Technology-Sustainability-Market" TargetMode="External"/><Relationship Id="rId14" Type="http://schemas.openxmlformats.org/officeDocument/2006/relationships/hyperlink" Target="https://newsroom.toyota.eu/global-sales-of-toyota-hybrids-reach-10-milli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5D839E-7FC3-4085-BE64-044DCA041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35</Pages>
  <Words>10906</Words>
  <Characters>59984</Characters>
  <Application>Microsoft Office Word</Application>
  <DocSecurity>0</DocSecurity>
  <Lines>499</Lines>
  <Paragraphs>141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Dante LEYVA</dc:creator>
  <cp:lastModifiedBy>Dante LEYVA</cp:lastModifiedBy>
  <cp:revision>8</cp:revision>
  <dcterms:created xsi:type="dcterms:W3CDTF">2021-05-21T00:07:00Z</dcterms:created>
  <dcterms:modified xsi:type="dcterms:W3CDTF">2021-05-21T08:28:00Z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seTimer">
    <vt:bool>true</vt:bool>
  </property>
  <property fmtid="{D5CDD505-2E9C-101B-9397-08002B2CF9AE}" pid="3" name="EditTimer">
    <vt:i4>65</vt:i4>
  </property>
  <property fmtid="{D5CDD505-2E9C-101B-9397-08002B2CF9AE}" pid="4" name="LastTick">
    <vt:r8>44333.6257175926</vt:r8>
  </property>
  <property fmtid="{D5CDD505-2E9C-101B-9397-08002B2CF9AE}" pid="5" name="EditTotal">
    <vt:i4>20945</vt:i4>
  </property>
</Properties>
</file>