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FB20AF" w14:textId="79196491" w:rsidR="00CB7772" w:rsidRPr="00CB7772" w:rsidRDefault="0056181D" w:rsidP="00F1200D">
      <w:pPr>
        <w:pStyle w:val="Articletitle"/>
      </w:pPr>
      <w:r>
        <w:rPr>
          <w:color w:val="000000"/>
          <w:sz w:val="27"/>
          <w:szCs w:val="27"/>
        </w:rPr>
        <w:t>Development or dystopia? An introduction to the accountability</w:t>
      </w:r>
      <w:r w:rsidR="00966180">
        <w:rPr>
          <w:color w:val="000000"/>
          <w:sz w:val="27"/>
          <w:szCs w:val="27"/>
        </w:rPr>
        <w:t xml:space="preserve"> challenges of data processing by Facial Recognition Technology</w:t>
      </w:r>
    </w:p>
    <w:p w14:paraId="5CA75C78" w14:textId="7EEA00D1" w:rsidR="0056181D" w:rsidRDefault="009D6851" w:rsidP="00F1200D">
      <w:pPr>
        <w:pStyle w:val="Encabezado"/>
      </w:pPr>
      <w:r>
        <w:t>Table 1</w:t>
      </w:r>
      <w:r w:rsidRPr="009D6851">
        <w:t xml:space="preserve"> </w:t>
      </w:r>
      <w:r w:rsidRPr="00FF5699">
        <w:t>FRT’s legal definitions compar</w:t>
      </w:r>
      <w:r>
        <w:t>ison</w:t>
      </w:r>
    </w:p>
    <w:p w14:paraId="6010A588" w14:textId="144A1A7D" w:rsidR="0056181D" w:rsidRPr="0056181D" w:rsidRDefault="0056181D" w:rsidP="0056181D">
      <w:pPr>
        <w:pStyle w:val="Abstract"/>
        <w:rPr>
          <w:b/>
          <w:bCs/>
        </w:rPr>
      </w:pPr>
      <w:r w:rsidRPr="0056181D">
        <w:rPr>
          <w:b/>
          <w:bCs/>
        </w:rPr>
        <w:t>Abstract</w:t>
      </w:r>
    </w:p>
    <w:p w14:paraId="1B9354C4" w14:textId="5E340A88" w:rsidR="0056181D" w:rsidRDefault="0056181D" w:rsidP="0056181D">
      <w:pPr>
        <w:pStyle w:val="Abstract"/>
      </w:pPr>
      <w:r>
        <w:t xml:space="preserve">Facial Recognition Technology (FRT) is becoming increasingly accurate, thanks to the addition of Artificial Intelligence (AI) to these systems, the increasing volume of available data and advances in computing power. Whilst it has potential as a solution to the current needs for identification and verification it could compromise the right to privacy and data protection because it relies on the large-scale processing of sensitive data and there is a lack of transparency and accountability regarding the collection, processing, and use of the (special category) personal data managed by FRT-AI. </w:t>
      </w:r>
    </w:p>
    <w:p w14:paraId="7E27AFA0" w14:textId="3A15330A" w:rsidR="0056181D" w:rsidRDefault="0056181D" w:rsidP="0056181D">
      <w:pPr>
        <w:pStyle w:val="Abstract"/>
      </w:pPr>
      <w:r>
        <w:t>This article will provide an overview of FRT; after that, it will conduct a comparative analysis of how FRT has been defined by different legal literature and regulatory sources within the EU and the US; then, it will explain the main challenges that FRT poses for the principle of accountability as expressed in article 5.2 GDPR, and finally, it will paint the current (and possible future) scenario that the technology faces from a legal perspective.</w:t>
      </w:r>
    </w:p>
    <w:p w14:paraId="538997D1" w14:textId="77777777" w:rsidR="0056181D" w:rsidRDefault="0056181D" w:rsidP="0056181D">
      <w:pPr>
        <w:pStyle w:val="Keywords"/>
      </w:pPr>
    </w:p>
    <w:p w14:paraId="60920F28" w14:textId="77777777" w:rsidR="0056181D" w:rsidRDefault="0056181D" w:rsidP="0056181D">
      <w:pPr>
        <w:pStyle w:val="Keywords"/>
      </w:pPr>
      <w:r>
        <w:t>Keywords: facial recognition technology; data protection; accountability</w:t>
      </w:r>
    </w:p>
    <w:p w14:paraId="28C43C59" w14:textId="77777777" w:rsidR="0056181D" w:rsidRDefault="0056181D" w:rsidP="0056181D">
      <w:pPr>
        <w:spacing w:line="360" w:lineRule="auto"/>
        <w:jc w:val="both"/>
        <w:rPr>
          <w:b/>
          <w:bCs/>
        </w:rPr>
      </w:pPr>
    </w:p>
    <w:p w14:paraId="5E5C5064" w14:textId="79E6DD49" w:rsidR="0056181D" w:rsidRPr="0056181D" w:rsidRDefault="0056181D" w:rsidP="0056181D">
      <w:pPr>
        <w:pStyle w:val="Ttulo1"/>
        <w:numPr>
          <w:ilvl w:val="0"/>
          <w:numId w:val="1"/>
        </w:numPr>
        <w:ind w:left="0" w:firstLine="0"/>
      </w:pPr>
      <w:r w:rsidRPr="0056181D">
        <w:lastRenderedPageBreak/>
        <w:t>Facial Recognition Technology</w:t>
      </w:r>
    </w:p>
    <w:p w14:paraId="1684E486" w14:textId="77777777" w:rsidR="0056181D" w:rsidRPr="0056181D" w:rsidRDefault="0056181D" w:rsidP="0056181D">
      <w:pPr>
        <w:pStyle w:val="Ttulo2"/>
        <w:numPr>
          <w:ilvl w:val="1"/>
          <w:numId w:val="1"/>
        </w:numPr>
        <w:ind w:left="0" w:firstLine="0"/>
      </w:pPr>
      <w:r w:rsidRPr="0056181D">
        <w:t>Definition</w:t>
      </w:r>
    </w:p>
    <w:p w14:paraId="033F9424" w14:textId="5F57519A" w:rsidR="0056181D" w:rsidRDefault="0056181D" w:rsidP="0056181D">
      <w:pPr>
        <w:spacing w:line="360" w:lineRule="auto"/>
        <w:jc w:val="both"/>
      </w:pPr>
      <w:r>
        <w:rPr>
          <w:noProof/>
        </w:rPr>
        <w:drawing>
          <wp:anchor distT="0" distB="0" distL="114300" distR="114300" simplePos="0" relativeHeight="251660288" behindDoc="1" locked="0" layoutInCell="1" allowOverlap="1" wp14:anchorId="34E76CAD" wp14:editId="172C0A7C">
            <wp:simplePos x="0" y="0"/>
            <wp:positionH relativeFrom="margin">
              <wp:align>right</wp:align>
            </wp:positionH>
            <wp:positionV relativeFrom="paragraph">
              <wp:posOffset>1581785</wp:posOffset>
            </wp:positionV>
            <wp:extent cx="5400040" cy="3750310"/>
            <wp:effectExtent l="0" t="0" r="0" b="2540"/>
            <wp:wrapTight wrapText="bothSides">
              <wp:wrapPolygon edited="0">
                <wp:start x="0" y="0"/>
                <wp:lineTo x="0" y="21505"/>
                <wp:lineTo x="21488" y="21505"/>
                <wp:lineTo x="21488"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00040" cy="3750310"/>
                    </a:xfrm>
                    <a:prstGeom prst="rect">
                      <a:avLst/>
                    </a:prstGeom>
                    <a:noFill/>
                  </pic:spPr>
                </pic:pic>
              </a:graphicData>
            </a:graphic>
            <wp14:sizeRelH relativeFrom="page">
              <wp14:pctWidth>0</wp14:pctWidth>
            </wp14:sizeRelH>
            <wp14:sizeRelV relativeFrom="page">
              <wp14:pctHeight>0</wp14:pctHeight>
            </wp14:sizeRelV>
          </wp:anchor>
        </w:drawing>
      </w:r>
      <w:r>
        <w:t xml:space="preserve">FRT produces a ‘template’ of the face image of the subject and compares it with photos of pre-existing facial portraits. Such images can be found in several places from driver license files, police documents, mugshots, or social media pages. </w:t>
      </w:r>
      <w:r w:rsidR="00D17793">
        <w:t>Then, software</w:t>
      </w:r>
      <w:r>
        <w:t xml:space="preserve"> is used to construct a replica by processing photographs of humans for identifying or validating an individual’s identity (</w:t>
      </w:r>
      <w:r w:rsidRPr="0056181D">
        <w:t>Hamann and Smith 2019)</w:t>
      </w:r>
      <w:r>
        <w:t xml:space="preserve"> (Figure 1). </w:t>
      </w:r>
    </w:p>
    <w:p w14:paraId="3922EA0B" w14:textId="42301D9D" w:rsidR="0056181D" w:rsidRDefault="0056181D" w:rsidP="0056181D">
      <w:pPr>
        <w:spacing w:line="360" w:lineRule="auto"/>
        <w:ind w:firstLine="360"/>
        <w:jc w:val="both"/>
        <w:rPr>
          <w:b/>
          <w:bCs/>
        </w:rPr>
      </w:pPr>
      <w:r>
        <w:rPr>
          <w:noProof/>
        </w:rPr>
        <mc:AlternateContent>
          <mc:Choice Requires="wps">
            <w:drawing>
              <wp:anchor distT="45720" distB="45720" distL="114300" distR="114300" simplePos="0" relativeHeight="251659264" behindDoc="0" locked="0" layoutInCell="1" allowOverlap="1" wp14:anchorId="5AF645FA" wp14:editId="4AECD771">
                <wp:simplePos x="0" y="0"/>
                <wp:positionH relativeFrom="margin">
                  <wp:align>right</wp:align>
                </wp:positionH>
                <wp:positionV relativeFrom="paragraph">
                  <wp:posOffset>4029075</wp:posOffset>
                </wp:positionV>
                <wp:extent cx="5384800" cy="304800"/>
                <wp:effectExtent l="0" t="0" r="6350" b="0"/>
                <wp:wrapSquare wrapText="bothSides"/>
                <wp:docPr id="3"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4800" cy="304800"/>
                        </a:xfrm>
                        <a:prstGeom prst="rect">
                          <a:avLst/>
                        </a:prstGeom>
                        <a:solidFill>
                          <a:srgbClr val="FFFFFF"/>
                        </a:solidFill>
                        <a:ln w="9525">
                          <a:noFill/>
                          <a:miter lim="800000"/>
                          <a:headEnd/>
                          <a:tailEnd/>
                        </a:ln>
                      </wps:spPr>
                      <wps:txbx>
                        <w:txbxContent>
                          <w:p w14:paraId="2D40EF0F" w14:textId="77777777" w:rsidR="007507CA" w:rsidRPr="0056181D" w:rsidRDefault="007507CA" w:rsidP="0056181D">
                            <w:pPr>
                              <w:jc w:val="center"/>
                              <w:rPr>
                                <w:lang w:val="fr-FR"/>
                              </w:rPr>
                            </w:pPr>
                            <w:r w:rsidRPr="0056181D">
                              <w:rPr>
                                <w:lang w:val="fr-FR"/>
                              </w:rPr>
                              <w:t xml:space="preserve">Figure 1. Source : </w:t>
                            </w:r>
                            <w:hyperlink r:id="rId9" w:history="1">
                              <w:r w:rsidRPr="0056181D">
                                <w:rPr>
                                  <w:rStyle w:val="Hipervnculo"/>
                                  <w:lang w:val="fr-FR"/>
                                </w:rPr>
                                <w:t>https://medium.com/adalab/facial-recognition-system-5642f57c220a</w:t>
                              </w:r>
                            </w:hyperlink>
                          </w:p>
                          <w:p w14:paraId="2F1FCD7E" w14:textId="77777777" w:rsidR="007507CA" w:rsidRDefault="007507CA" w:rsidP="0056181D">
                            <w:pPr>
                              <w:rPr>
                                <w:sz w:val="20"/>
                                <w:szCs w:val="20"/>
                                <w:lang w:val="fr-FR"/>
                              </w:rPr>
                            </w:pPr>
                          </w:p>
                          <w:p w14:paraId="721B39B4" w14:textId="77777777" w:rsidR="007507CA" w:rsidRDefault="007507CA" w:rsidP="0056181D">
                            <w:pPr>
                              <w:rPr>
                                <w:sz w:val="20"/>
                                <w:szCs w:val="20"/>
                                <w:lang w:val="fr-FR"/>
                              </w:rPr>
                            </w:pPr>
                          </w:p>
                          <w:p w14:paraId="1981B3EA" w14:textId="77777777" w:rsidR="007507CA" w:rsidRDefault="007507CA" w:rsidP="0056181D">
                            <w:pPr>
                              <w:rPr>
                                <w:sz w:val="20"/>
                                <w:szCs w:val="20"/>
                                <w:lang w:val="fr-FR"/>
                              </w:rPr>
                            </w:pPr>
                          </w:p>
                          <w:p w14:paraId="1FDFE5DC" w14:textId="77777777" w:rsidR="007507CA" w:rsidRDefault="007507CA" w:rsidP="0056181D">
                            <w:pPr>
                              <w:rPr>
                                <w:sz w:val="20"/>
                                <w:szCs w:val="20"/>
                                <w:lang w:val="fr-FR"/>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AF645FA" id="_x0000_t202" coordsize="21600,21600" o:spt="202" path="m,l,21600r21600,l21600,xe">
                <v:stroke joinstyle="miter"/>
                <v:path gradientshapeok="t" o:connecttype="rect"/>
              </v:shapetype>
              <v:shape id="Cuadro de texto 3" o:spid="_x0000_s1026" type="#_x0000_t202" style="position:absolute;left:0;text-align:left;margin-left:372.8pt;margin-top:317.25pt;width:424pt;height:24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" stroked="f">
                <v:textbox>
                  <w:txbxContent>
                    <w:p w14:paraId="2D40EF0F" w14:textId="77777777" w:rsidR="007507CA" w:rsidRPr="0056181D" w:rsidRDefault="007507CA" w:rsidP="0056181D">
                      <w:pPr>
                        <w:jc w:val="center"/>
                        <w:rPr>
                          <w:lang w:val="fr-FR"/>
                        </w:rPr>
                      </w:pPr>
                      <w:r w:rsidRPr="0056181D">
                        <w:rPr>
                          <w:lang w:val="fr-FR"/>
                        </w:rPr>
                        <w:t xml:space="preserve">Figure 1. Source : </w:t>
                      </w:r>
                      <w:hyperlink r:id="rId10" w:history="1">
                        <w:r w:rsidRPr="0056181D">
                          <w:rPr>
                            <w:rStyle w:val="Hipervnculo"/>
                            <w:lang w:val="fr-FR"/>
                          </w:rPr>
                          <w:t>https://medium.com/adalab/facial-recognition-system-5642f57c220a</w:t>
                        </w:r>
                      </w:hyperlink>
                    </w:p>
                    <w:p w14:paraId="2F1FCD7E" w14:textId="77777777" w:rsidR="007507CA" w:rsidRDefault="007507CA" w:rsidP="0056181D">
                      <w:pPr>
                        <w:rPr>
                          <w:sz w:val="20"/>
                          <w:szCs w:val="20"/>
                          <w:lang w:val="fr-FR"/>
                        </w:rPr>
                      </w:pPr>
                    </w:p>
                    <w:p w14:paraId="721B39B4" w14:textId="77777777" w:rsidR="007507CA" w:rsidRDefault="007507CA" w:rsidP="0056181D">
                      <w:pPr>
                        <w:rPr>
                          <w:sz w:val="20"/>
                          <w:szCs w:val="20"/>
                          <w:lang w:val="fr-FR"/>
                        </w:rPr>
                      </w:pPr>
                    </w:p>
                    <w:p w14:paraId="1981B3EA" w14:textId="77777777" w:rsidR="007507CA" w:rsidRDefault="007507CA" w:rsidP="0056181D">
                      <w:pPr>
                        <w:rPr>
                          <w:sz w:val="20"/>
                          <w:szCs w:val="20"/>
                          <w:lang w:val="fr-FR"/>
                        </w:rPr>
                      </w:pPr>
                    </w:p>
                    <w:p w14:paraId="1FDFE5DC" w14:textId="77777777" w:rsidR="007507CA" w:rsidRDefault="007507CA" w:rsidP="0056181D">
                      <w:pPr>
                        <w:rPr>
                          <w:sz w:val="20"/>
                          <w:szCs w:val="20"/>
                          <w:lang w:val="fr-FR"/>
                        </w:rPr>
                      </w:pPr>
                    </w:p>
                  </w:txbxContent>
                </v:textbox>
                <w10:wrap type="square" anchorx="margin"/>
              </v:shape>
            </w:pict>
          </mc:Fallback>
        </mc:AlternateContent>
      </w:r>
    </w:p>
    <w:p w14:paraId="0B796DFC" w14:textId="38EBC56A" w:rsidR="0056181D" w:rsidRPr="00270BBF" w:rsidRDefault="00270BBF" w:rsidP="00270BBF">
      <w:pPr>
        <w:pStyle w:val="Ttulo2"/>
        <w:numPr>
          <w:ilvl w:val="1"/>
          <w:numId w:val="1"/>
        </w:numPr>
        <w:ind w:left="0" w:firstLine="0"/>
      </w:pPr>
      <w:r>
        <w:t>H</w:t>
      </w:r>
      <w:r w:rsidR="0056181D" w:rsidRPr="00270BBF">
        <w:t>istorical background</w:t>
      </w:r>
    </w:p>
    <w:p w14:paraId="4C7D19B0" w14:textId="5569AA72" w:rsidR="0056181D" w:rsidRDefault="0056181D" w:rsidP="0056181D">
      <w:pPr>
        <w:spacing w:line="360" w:lineRule="auto"/>
        <w:jc w:val="both"/>
      </w:pPr>
      <w:r>
        <w:t>FRT dates from the 1960s,</w:t>
      </w:r>
      <w:r>
        <w:rPr>
          <w:rStyle w:val="Refdenotaalpie"/>
        </w:rPr>
        <w:footnoteReference w:id="1"/>
      </w:r>
      <w:r>
        <w:t xml:space="preserve"> but it was not until the 2000s that the technology started to prove useful and dependable. Media coverage of a test implementation of FRT carried out in January 2001 at the SuperBowl in Tampa, Florida, where fixed cameras took pictures of the spectators to compare them with a database of criminal suspects bought FRT to public attention</w:t>
      </w:r>
      <w:r w:rsidR="00270BBF">
        <w:t xml:space="preserve"> (Thomas 2015)</w:t>
      </w:r>
      <w:r>
        <w:t xml:space="preserve">. </w:t>
      </w:r>
    </w:p>
    <w:p w14:paraId="7A9351F8" w14:textId="36F81F72" w:rsidR="00B00FF4" w:rsidRPr="00B00FF4" w:rsidRDefault="0056181D" w:rsidP="00B00FF4">
      <w:pPr>
        <w:spacing w:line="360" w:lineRule="auto"/>
        <w:jc w:val="both"/>
      </w:pPr>
      <w:r>
        <w:lastRenderedPageBreak/>
        <w:t>Then, in 2010, Facebook created an image identity auto-tagging system based on facial recognition</w:t>
      </w:r>
      <w:r w:rsidRPr="00B00FF4">
        <w:rPr>
          <w:vertAlign w:val="superscript"/>
        </w:rPr>
        <w:footnoteReference w:id="2"/>
      </w:r>
      <w:r>
        <w:t>, placing FRT into the mainstream. In the year 2017, the iPhone X became the world’s highest-selling phone with a facial recognition access control system.</w:t>
      </w:r>
      <w:r w:rsidRPr="00B00FF4">
        <w:rPr>
          <w:vertAlign w:val="superscript"/>
        </w:rPr>
        <w:footnoteReference w:id="3"/>
      </w:r>
      <w:r>
        <w:t xml:space="preserve"> Progressively, FRT systems started to be empowered by AI and the scientific community has pointed out that, despite being two different realms, ‘it is important to note that most </w:t>
      </w:r>
      <w:r w:rsidR="00270BBF">
        <w:t>[…]</w:t>
      </w:r>
      <w:r>
        <w:t xml:space="preserve"> powerful, FRT has certainly been developed using some aspect of AI.’</w:t>
      </w:r>
      <w:r w:rsidRPr="00B00FF4">
        <w:rPr>
          <w:vertAlign w:val="superscript"/>
        </w:rPr>
        <w:footnoteReference w:id="4"/>
      </w:r>
      <w:r>
        <w:t xml:space="preserve"> </w:t>
      </w:r>
      <w:r w:rsidR="00B00FF4">
        <w:t>FRT is considered a subfield of pattern recognition research and technology (Introna and Nissenbaum 2010).</w:t>
      </w:r>
      <w:r w:rsidR="00B00FF4" w:rsidRPr="00B00FF4">
        <w:t xml:space="preserve"> </w:t>
      </w:r>
    </w:p>
    <w:p w14:paraId="5CCFEB7B" w14:textId="74FFEDB3" w:rsidR="0056181D" w:rsidRDefault="0056181D" w:rsidP="0056181D">
      <w:pPr>
        <w:spacing w:line="360" w:lineRule="auto"/>
        <w:jc w:val="both"/>
        <w:rPr>
          <w:shd w:val="clear" w:color="auto" w:fill="FFFFFF"/>
        </w:rPr>
      </w:pPr>
      <w:r>
        <w:t>According to a report by the National Institute of Standards and Technology (NIST)</w:t>
      </w:r>
      <w:r>
        <w:rPr>
          <w:rStyle w:val="Refdenotaalpie"/>
        </w:rPr>
        <w:footnoteReference w:id="5"/>
      </w:r>
      <w:r>
        <w:t>, huge gains in precision were made during the period between 2013 and 2018</w:t>
      </w:r>
      <w:r w:rsidR="00270BBF">
        <w:t xml:space="preserve"> (</w:t>
      </w:r>
      <w:r w:rsidR="00270BBF">
        <w:rPr>
          <w:shd w:val="clear" w:color="auto" w:fill="FFFFFF"/>
        </w:rPr>
        <w:t>Grother, Ngan et. al 2018)</w:t>
      </w:r>
      <w:r>
        <w:t xml:space="preserve">. Tests confirmed that only 0.2% of searches of a database of 26.6 million pictures failed to match the correct image </w:t>
      </w:r>
      <w:r w:rsidR="00270BBF">
        <w:t>during this period</w:t>
      </w:r>
      <w:r>
        <w:t xml:space="preserve">, compared with a 4% failure rate in the year 2014. </w:t>
      </w:r>
      <w:r>
        <w:rPr>
          <w:shd w:val="clear" w:color="auto" w:fill="FFFFFF"/>
        </w:rPr>
        <w:t xml:space="preserve">This timeline illustrates a </w:t>
      </w:r>
      <w:r w:rsidR="00D17793">
        <w:rPr>
          <w:shd w:val="clear" w:color="auto" w:fill="FFFFFF"/>
        </w:rPr>
        <w:t>fast maturing</w:t>
      </w:r>
      <w:r>
        <w:rPr>
          <w:shd w:val="clear" w:color="auto" w:fill="FFFFFF"/>
        </w:rPr>
        <w:t xml:space="preserve"> of FRT in a relatively short amount of time.</w:t>
      </w:r>
      <w:r>
        <w:rPr>
          <w:shd w:val="clear" w:color="auto" w:fill="FFFFFF"/>
          <w:vertAlign w:val="superscript"/>
        </w:rPr>
        <w:footnoteReference w:id="6"/>
      </w:r>
      <w:r>
        <w:rPr>
          <w:shd w:val="clear" w:color="auto" w:fill="FFFFFF"/>
          <w:vertAlign w:val="superscript"/>
        </w:rPr>
        <w:t xml:space="preserve"> </w:t>
      </w:r>
      <w:r>
        <w:t xml:space="preserve">And, it is predicted that </w:t>
      </w:r>
      <w:r>
        <w:rPr>
          <w:shd w:val="clear" w:color="auto" w:fill="FFFFFF"/>
        </w:rPr>
        <w:t>by 2024, the worldwide facial recognition market will produce $7 billion of income, upheld by a compound yearly development rate (CAGR) of 16% over the period 2019-2024</w:t>
      </w:r>
      <w:r w:rsidR="00270BBF">
        <w:rPr>
          <w:shd w:val="clear" w:color="auto" w:fill="FFFFFF"/>
        </w:rPr>
        <w:t xml:space="preserve"> (Market and Markets 2019)</w:t>
      </w:r>
      <w:r>
        <w:rPr>
          <w:shd w:val="clear" w:color="auto" w:fill="FFFFFF"/>
        </w:rPr>
        <w:t>. Additionally, these reports both illustrate the increasing importance of FRT both from a technological and economic point of view.</w:t>
      </w:r>
    </w:p>
    <w:p w14:paraId="4EB313F0" w14:textId="0B936D02" w:rsidR="0056181D" w:rsidRDefault="00270BBF" w:rsidP="00270BBF">
      <w:pPr>
        <w:pStyle w:val="Ttulo2"/>
        <w:numPr>
          <w:ilvl w:val="1"/>
          <w:numId w:val="1"/>
        </w:numPr>
        <w:ind w:left="0" w:firstLine="0"/>
      </w:pPr>
      <w:r>
        <w:lastRenderedPageBreak/>
        <w:t>F</w:t>
      </w:r>
      <w:r w:rsidR="0056181D" w:rsidRPr="00270BBF">
        <w:t>unctions</w:t>
      </w:r>
    </w:p>
    <w:p w14:paraId="4710BD45" w14:textId="77777777" w:rsidR="0056181D" w:rsidRDefault="0056181D" w:rsidP="0056181D">
      <w:pPr>
        <w:spacing w:line="360" w:lineRule="auto"/>
        <w:jc w:val="both"/>
      </w:pPr>
      <w:r>
        <w:t>FRT can be classified according to its purpose into three different categories: verification, identification, or categorisation.</w:t>
      </w:r>
      <w:r>
        <w:rPr>
          <w:rStyle w:val="Refdenotaalpie"/>
        </w:rPr>
        <w:footnoteReference w:id="7"/>
      </w:r>
      <w:r>
        <w:t xml:space="preserve"> Verification and identification both refer to matching individual distinguishing characteristics to acknowledge their identity. Categorisation shall determine whether an individual belongs to a given group based on their biometric features. </w:t>
      </w:r>
    </w:p>
    <w:p w14:paraId="25FEADEA" w14:textId="77777777" w:rsidR="002F6464" w:rsidRDefault="0056181D" w:rsidP="002F6464">
      <w:pPr>
        <w:spacing w:line="360" w:lineRule="auto"/>
        <w:jc w:val="both"/>
      </w:pPr>
      <w:r>
        <w:rPr>
          <w:i/>
          <w:iCs/>
        </w:rPr>
        <w:t>Verification</w:t>
      </w:r>
      <w:r>
        <w:t xml:space="preserve"> refers to a ‘one-to-one matching’. It contrasts two ‘biometric templates’ under the assumption of belonging to the same individual to determine if it is indeed the same individual</w:t>
      </w:r>
      <w:r w:rsidR="00270BBF">
        <w:t xml:space="preserve"> (FRA 2020)</w:t>
      </w:r>
      <w:r>
        <w:t>. FRT employed in border checks at airports perform this function.</w:t>
      </w:r>
      <w:r>
        <w:rPr>
          <w:rStyle w:val="Refdenotaalpie"/>
        </w:rPr>
        <w:footnoteReference w:id="8"/>
      </w:r>
    </w:p>
    <w:p w14:paraId="6B97061B" w14:textId="77777777" w:rsidR="002F6464" w:rsidRDefault="0056181D" w:rsidP="002F6464">
      <w:pPr>
        <w:spacing w:line="360" w:lineRule="auto"/>
        <w:jc w:val="both"/>
      </w:pPr>
      <w:r>
        <w:rPr>
          <w:i/>
          <w:iCs/>
        </w:rPr>
        <w:t>Identification</w:t>
      </w:r>
      <w:r>
        <w:t xml:space="preserve"> is a comparison of a person's face template with other templates stored in a database to determine whether the picture is deposited there. FRT returns a score for each comparison of the probability of the two images corresponding to the same individual. </w:t>
      </w:r>
      <w:r w:rsidR="002F6464">
        <w:t xml:space="preserve">Comparison of a person’s face template with those in a database where there is the certainty that the individual is present is known as closed-set identification. </w:t>
      </w:r>
      <w:r>
        <w:t>The opposite case is called open-set identification</w:t>
      </w:r>
      <w:r w:rsidR="002F6464">
        <w:t xml:space="preserve"> (when it is unknown whether the individual is enrolled within the database or not)</w:t>
      </w:r>
      <w:r>
        <w:t xml:space="preserve">. </w:t>
      </w:r>
      <w:r w:rsidR="002F6464">
        <w:t>T</w:t>
      </w:r>
      <w:r>
        <w:t xml:space="preserve">he use of FRT for identification purposes is </w:t>
      </w:r>
      <w:r w:rsidR="002F6464">
        <w:t xml:space="preserve">also </w:t>
      </w:r>
      <w:r>
        <w:t>known as Automated Facial Recognition (AFR)</w:t>
      </w:r>
      <w:r w:rsidR="002F6464">
        <w:t>.</w:t>
      </w:r>
      <w:r>
        <w:t xml:space="preserve"> </w:t>
      </w:r>
    </w:p>
    <w:p w14:paraId="31E939EF" w14:textId="05C06E97" w:rsidR="0056181D" w:rsidRDefault="0056181D" w:rsidP="002F6464">
      <w:pPr>
        <w:spacing w:line="360" w:lineRule="auto"/>
        <w:jc w:val="both"/>
      </w:pPr>
      <w:r>
        <w:t>Live Facial Recognition Technology (LFRT) consists of the extraction and comparison of faces from video footage with faces in the database to decide whether the person on the footage is in the database.</w:t>
      </w:r>
      <w:r w:rsidR="002F6464">
        <w:t xml:space="preserve"> </w:t>
      </w:r>
    </w:p>
    <w:p w14:paraId="5B60413E" w14:textId="347AC2EC" w:rsidR="0056181D" w:rsidRDefault="0056181D" w:rsidP="0056181D">
      <w:pPr>
        <w:spacing w:line="360" w:lineRule="auto"/>
        <w:jc w:val="both"/>
      </w:pPr>
      <w:r>
        <w:rPr>
          <w:i/>
          <w:iCs/>
        </w:rPr>
        <w:t>Categorisation</w:t>
      </w:r>
      <w:r>
        <w:t xml:space="preserve"> can be used for profiling purposes</w:t>
      </w:r>
      <w:r w:rsidR="00B024C1">
        <w:t xml:space="preserve"> (FRA 2018)</w:t>
      </w:r>
      <w:r>
        <w:t xml:space="preserve">. It implies that the technology is not being used to identify individuals and match them but rather certain features of these individuals. However, an accumulation of multiple characteristics and their linkage to other data could constitute </w:t>
      </w:r>
      <w:r>
        <w:rPr>
          <w:i/>
          <w:iCs/>
        </w:rPr>
        <w:t>de facto</w:t>
      </w:r>
      <w:r>
        <w:t xml:space="preserve"> identification.</w:t>
      </w:r>
    </w:p>
    <w:p w14:paraId="16B3C2F0" w14:textId="6FB28BC9" w:rsidR="0056181D" w:rsidRDefault="0056181D" w:rsidP="0056181D">
      <w:pPr>
        <w:spacing w:line="360" w:lineRule="auto"/>
        <w:jc w:val="both"/>
      </w:pPr>
      <w:r>
        <w:t>This classification will grow in importance in later stages of the present paper as facial images can benefit from a different regime of data protection depending on the functionality performed by the FRT system.</w:t>
      </w:r>
    </w:p>
    <w:p w14:paraId="418F4C1B" w14:textId="601B5BC7" w:rsidR="005B7150" w:rsidRPr="005B7150" w:rsidRDefault="005B7150" w:rsidP="005B7150">
      <w:pPr>
        <w:pStyle w:val="Ttulo2"/>
        <w:numPr>
          <w:ilvl w:val="1"/>
          <w:numId w:val="1"/>
        </w:numPr>
        <w:ind w:left="0" w:firstLine="0"/>
      </w:pPr>
      <w:r>
        <w:lastRenderedPageBreak/>
        <w:t>C</w:t>
      </w:r>
      <w:r w:rsidRPr="005B7150">
        <w:t>urrent applications</w:t>
      </w:r>
    </w:p>
    <w:p w14:paraId="31678937" w14:textId="112415BA" w:rsidR="005B7150" w:rsidRDefault="005B7150" w:rsidP="005B7150">
      <w:pPr>
        <w:spacing w:line="360" w:lineRule="auto"/>
        <w:jc w:val="both"/>
        <w:rPr>
          <w:shd w:val="clear" w:color="auto" w:fill="FFFFFF"/>
        </w:rPr>
      </w:pPr>
      <w:r>
        <w:rPr>
          <w:shd w:val="clear" w:color="auto" w:fill="FFFFFF"/>
        </w:rPr>
        <w:t>Because of its inconspicuousness (it does not require specialist sensors) and usability, (it produces high-quality images in real-time) FRT is increasingly being used by private and public stakeholders.</w:t>
      </w:r>
    </w:p>
    <w:p w14:paraId="6C07E1EA" w14:textId="2B1FCDDB" w:rsidR="005B7150" w:rsidRDefault="005B7150" w:rsidP="005B7150">
      <w:pPr>
        <w:spacing w:line="360" w:lineRule="auto"/>
        <w:jc w:val="both"/>
        <w:rPr>
          <w:shd w:val="clear" w:color="auto" w:fill="FFFFFF"/>
        </w:rPr>
      </w:pPr>
      <w:r>
        <w:t>There are two primary drivers of FTR</w:t>
      </w:r>
      <w:r>
        <w:rPr>
          <w:shd w:val="clear" w:color="auto" w:fill="FFFFFF"/>
        </w:rPr>
        <w:t>:</w:t>
      </w:r>
    </w:p>
    <w:p w14:paraId="7E905286" w14:textId="61617BFF" w:rsidR="005B7150" w:rsidRPr="002D286B" w:rsidRDefault="005B7150" w:rsidP="005B7150">
      <w:pPr>
        <w:pStyle w:val="Prrafodelista"/>
        <w:numPr>
          <w:ilvl w:val="0"/>
          <w:numId w:val="3"/>
        </w:numPr>
        <w:spacing w:line="360" w:lineRule="auto"/>
        <w:jc w:val="both"/>
      </w:pPr>
      <w:r>
        <w:t>T</w:t>
      </w:r>
      <w:r w:rsidRPr="002D286B">
        <w:t>he European Union (EU) is involved in a long-term project that plans, by using fingerprints and facial images, to ensure biometric recording of all citizens within the EU. The EU citizens are part of these provisions</w:t>
      </w:r>
      <w:r>
        <w:t xml:space="preserve"> since EU Regulation No. 2252/2004 includes obligatory biometric attributes (such as facial images) in passports and travel documents issued by M</w:t>
      </w:r>
      <w:r w:rsidR="00AD6409">
        <w:t xml:space="preserve">ember </w:t>
      </w:r>
      <w:r>
        <w:t>S</w:t>
      </w:r>
      <w:r w:rsidR="00AD6409">
        <w:t>tates (MS)</w:t>
      </w:r>
      <w:r>
        <w:t>. Moreover, m</w:t>
      </w:r>
      <w:r w:rsidRPr="00032A8F">
        <w:t>ost governments in Europe are currently implementing biom</w:t>
      </w:r>
      <w:r>
        <w:t>et</w:t>
      </w:r>
      <w:r w:rsidRPr="00032A8F">
        <w:t>ric eID cards</w:t>
      </w:r>
      <w:r>
        <w:t xml:space="preserve"> (ENISA 2020).</w:t>
      </w:r>
      <w:r>
        <w:rPr>
          <w:rStyle w:val="Refdenotaalpie"/>
        </w:rPr>
        <w:footnoteReference w:id="9"/>
      </w:r>
      <w:r>
        <w:t xml:space="preserve"> The initiative</w:t>
      </w:r>
      <w:r w:rsidRPr="002D286B">
        <w:t xml:space="preserve"> will initially concentrate on non-citizens by storing biometrics on databases like Visa Information System (photos and fingerprints of short-term visa applicants) and Eurodac.</w:t>
      </w:r>
      <w:r>
        <w:t xml:space="preserve"> </w:t>
      </w:r>
      <w:r w:rsidRPr="002D286B">
        <w:t>Member States are also invited to ensure, for its storing in European Criminal History Database Systems</w:t>
      </w:r>
      <w:r>
        <w:t xml:space="preserve"> </w:t>
      </w:r>
      <w:r w:rsidRPr="002D286B">
        <w:t>(ECRIS-TCN), that biometric data from people accused of criminal offences is obtained</w:t>
      </w:r>
      <w:r>
        <w:t xml:space="preserve"> (Statewatch 2020)</w:t>
      </w:r>
      <w:r w:rsidRPr="002D286B">
        <w:t>.</w:t>
      </w:r>
      <w:r w:rsidR="00E84555">
        <w:t xml:space="preserve"> </w:t>
      </w:r>
      <w:r w:rsidR="00D17793">
        <w:t>Considering</w:t>
      </w:r>
      <w:r w:rsidR="00E84555">
        <w:t xml:space="preserve"> the complex network of subjects that the interoperability of these databases might entail, it will become increasingly difficult to ascertain accountability in this scenario.</w:t>
      </w:r>
    </w:p>
    <w:p w14:paraId="5039A93B" w14:textId="6FB5788F" w:rsidR="005B7150" w:rsidRPr="005B7150" w:rsidRDefault="005B7150" w:rsidP="005B7150">
      <w:pPr>
        <w:pStyle w:val="Prrafodelista"/>
        <w:numPr>
          <w:ilvl w:val="0"/>
          <w:numId w:val="3"/>
        </w:numPr>
        <w:autoSpaceDE w:val="0"/>
        <w:autoSpaceDN w:val="0"/>
        <w:adjustRightInd w:val="0"/>
        <w:spacing w:after="100" w:line="360" w:lineRule="auto"/>
        <w:jc w:val="both"/>
        <w:rPr>
          <w:b/>
          <w:bCs/>
          <w:shd w:val="clear" w:color="auto" w:fill="FFFFFF"/>
        </w:rPr>
      </w:pPr>
      <w:r w:rsidRPr="005B7150">
        <w:rPr>
          <w:shd w:val="clear" w:color="auto" w:fill="FFFFFF"/>
        </w:rPr>
        <w:t>The growing use of surveillance cameras in public places has sparked enthusiasm for the utilization of FRT to match faces of individuals in observation pictures against a particular database of known suspects</w:t>
      </w:r>
      <w:r w:rsidR="00397C85">
        <w:rPr>
          <w:shd w:val="clear" w:color="auto" w:fill="FFFFFF"/>
        </w:rPr>
        <w:t xml:space="preserve"> ?for law enforcement purposes?</w:t>
      </w:r>
      <w:r w:rsidRPr="005B7150">
        <w:rPr>
          <w:shd w:val="clear" w:color="auto" w:fill="FFFFFF"/>
        </w:rPr>
        <w:t xml:space="preserve">. </w:t>
      </w:r>
      <w:r w:rsidR="00B35E6D">
        <w:rPr>
          <w:shd w:val="clear" w:color="auto" w:fill="FFFFFF"/>
        </w:rPr>
        <w:t>Th</w:t>
      </w:r>
      <w:r w:rsidR="00601C6C">
        <w:rPr>
          <w:shd w:val="clear" w:color="auto" w:fill="FFFFFF"/>
        </w:rPr>
        <w:t>ese</w:t>
      </w:r>
      <w:r w:rsidR="00B35E6D">
        <w:rPr>
          <w:shd w:val="clear" w:color="auto" w:fill="FFFFFF"/>
        </w:rPr>
        <w:t xml:space="preserve"> systems have also been reported to be a potential tool for police abuse. Therefore, t</w:t>
      </w:r>
      <w:r w:rsidR="001C5D58">
        <w:rPr>
          <w:shd w:val="clear" w:color="auto" w:fill="FFFFFF"/>
        </w:rPr>
        <w:t xml:space="preserve">his gives rise to accountability issues since FRT-driven surveillance might entail a dystopian scenario where </w:t>
      </w:r>
      <w:r w:rsidR="00B35E6D">
        <w:rPr>
          <w:shd w:val="clear" w:color="auto" w:fill="FFFFFF"/>
        </w:rPr>
        <w:t xml:space="preserve">accountability within </w:t>
      </w:r>
      <w:r w:rsidR="001C5D58">
        <w:rPr>
          <w:shd w:val="clear" w:color="auto" w:fill="FFFFFF"/>
        </w:rPr>
        <w:t xml:space="preserve">the public </w:t>
      </w:r>
      <w:r w:rsidR="00B35E6D">
        <w:rPr>
          <w:shd w:val="clear" w:color="auto" w:fill="FFFFFF"/>
        </w:rPr>
        <w:t>sector may be difficult to demand.</w:t>
      </w:r>
    </w:p>
    <w:p w14:paraId="4F1E1D04" w14:textId="77777777" w:rsidR="005B7150" w:rsidRPr="005B7150" w:rsidRDefault="005B7150" w:rsidP="005B7150">
      <w:pPr>
        <w:pStyle w:val="Ttulo3"/>
      </w:pPr>
      <w:r w:rsidRPr="005B7150">
        <w:t>Law enforcement</w:t>
      </w:r>
      <w:r w:rsidRPr="005B7150">
        <w:tab/>
      </w:r>
    </w:p>
    <w:p w14:paraId="514C0176" w14:textId="7D87AF22" w:rsidR="005B7150" w:rsidRDefault="005B7150" w:rsidP="005B7150">
      <w:pPr>
        <w:spacing w:line="360" w:lineRule="auto"/>
        <w:jc w:val="both"/>
        <w:rPr>
          <w:shd w:val="clear" w:color="auto" w:fill="FFFFFF"/>
        </w:rPr>
      </w:pPr>
      <w:r>
        <w:rPr>
          <w:shd w:val="clear" w:color="auto" w:fill="FFFFFF"/>
        </w:rPr>
        <w:t>The law enforcement sector is motivated to combat crime and terrorism at a global level. In this area, the advantages of FRT for policing are surveillance and suspects’ identification. In the United States, 26 states (and likely upwards of 30</w:t>
      </w:r>
      <w:r>
        <w:rPr>
          <w:rStyle w:val="Refdenotaalpie"/>
          <w:shd w:val="clear" w:color="auto" w:fill="FFFFFF"/>
        </w:rPr>
        <w:footnoteReference w:id="10"/>
      </w:r>
      <w:r>
        <w:rPr>
          <w:shd w:val="clear" w:color="auto" w:fill="FFFFFF"/>
        </w:rPr>
        <w:t xml:space="preserve">) permit law </w:t>
      </w:r>
      <w:r>
        <w:rPr>
          <w:shd w:val="clear" w:color="auto" w:fill="FFFFFF"/>
        </w:rPr>
        <w:lastRenderedPageBreak/>
        <w:t xml:space="preserve">enforcement to compare FRT images against their databases of driver's license and ID photographs. The Federal Bureau of Investigation (FBI) gathers driver's license photographs of 18 states. </w:t>
      </w:r>
    </w:p>
    <w:p w14:paraId="6BE0F1FE" w14:textId="2BA6AFD1" w:rsidR="005B7150" w:rsidRDefault="005B7150" w:rsidP="005B7150">
      <w:pPr>
        <w:spacing w:line="360" w:lineRule="auto"/>
        <w:jc w:val="both"/>
        <w:rPr>
          <w:shd w:val="clear" w:color="auto" w:fill="FFFFFF"/>
        </w:rPr>
      </w:pPr>
      <w:r>
        <w:rPr>
          <w:shd w:val="clear" w:color="auto" w:fill="FFFFFF"/>
        </w:rPr>
        <w:t xml:space="preserve">Drones joined with airborne cameras offer an intriguing mix for FRT applied to huge regions during mass occasions, for instance. </w:t>
      </w:r>
      <w:r w:rsidRPr="005B7150">
        <w:rPr>
          <w:shd w:val="clear" w:color="auto" w:fill="FFFFFF"/>
        </w:rPr>
        <w:t>S</w:t>
      </w:r>
      <w:r>
        <w:rPr>
          <w:shd w:val="clear" w:color="auto" w:fill="FFFFFF"/>
        </w:rPr>
        <w:t>ome drone systems can convey a camera focal point that can recognize a suspect from a distance of 800 meters from a height of 100 meters.</w:t>
      </w:r>
      <w:r>
        <w:rPr>
          <w:rStyle w:val="Refdenotaalpie"/>
          <w:shd w:val="clear" w:color="auto" w:fill="FFFFFF"/>
        </w:rPr>
        <w:footnoteReference w:id="11"/>
      </w:r>
      <w:r>
        <w:rPr>
          <w:shd w:val="clear" w:color="auto" w:fill="FFFFFF"/>
        </w:rPr>
        <w:t xml:space="preserve"> Additionally, Chinese authorities are extending the facial recognition smart</w:t>
      </w:r>
      <w:r w:rsidR="00BB2CB1">
        <w:rPr>
          <w:shd w:val="clear" w:color="auto" w:fill="FFFFFF"/>
        </w:rPr>
        <w:t xml:space="preserve"> </w:t>
      </w:r>
      <w:r>
        <w:rPr>
          <w:shd w:val="clear" w:color="auto" w:fill="FFFFFF"/>
        </w:rPr>
        <w:t>glasses program as police are utilizing them in the outskirts of Beijing.</w:t>
      </w:r>
      <w:r>
        <w:rPr>
          <w:rStyle w:val="Refdenotaalpie"/>
          <w:shd w:val="clear" w:color="auto" w:fill="FFFFFF"/>
        </w:rPr>
        <w:footnoteReference w:id="12"/>
      </w:r>
    </w:p>
    <w:p w14:paraId="2FB08D38" w14:textId="5D55A7F0" w:rsidR="005B7150" w:rsidRDefault="005B7150" w:rsidP="005B7150">
      <w:pPr>
        <w:autoSpaceDE w:val="0"/>
        <w:autoSpaceDN w:val="0"/>
        <w:adjustRightInd w:val="0"/>
        <w:spacing w:after="100" w:line="360" w:lineRule="auto"/>
        <w:jc w:val="both"/>
        <w:rPr>
          <w:iCs/>
          <w:lang w:eastAsia="es-ES"/>
        </w:rPr>
      </w:pPr>
      <w:r>
        <w:rPr>
          <w:shd w:val="clear" w:color="auto" w:fill="FFFFFF"/>
        </w:rPr>
        <w:t>FRT can likewise be utilized in police checks, although its utilization is thoroughly controlled in Europe</w:t>
      </w:r>
      <w:r w:rsidR="00632155">
        <w:rPr>
          <w:shd w:val="clear" w:color="auto" w:fill="FFFFFF"/>
        </w:rPr>
        <w:t xml:space="preserve"> due to the threat it might entail to the right to privacy in general and to data </w:t>
      </w:r>
      <w:r w:rsidR="00D17793">
        <w:rPr>
          <w:shd w:val="clear" w:color="auto" w:fill="FFFFFF"/>
        </w:rPr>
        <w:t>protection in particular</w:t>
      </w:r>
      <w:r>
        <w:t>.</w:t>
      </w:r>
      <w:r w:rsidR="00632155">
        <w:t xml:space="preserve"> The complex mix of national law provisions and European ones, with the GDPR within the first line, gives rise to an uncertain picture.</w:t>
      </w:r>
      <w:r>
        <w:t xml:space="preserve"> </w:t>
      </w:r>
      <w:r w:rsidR="00AD6409">
        <w:rPr>
          <w:iCs/>
          <w:lang w:eastAsia="es-ES"/>
        </w:rPr>
        <w:t>I</w:t>
      </w:r>
      <w:r>
        <w:rPr>
          <w:iCs/>
          <w:lang w:eastAsia="es-ES"/>
        </w:rPr>
        <w:t>n an answer to a parliamentary question in 2018 about the use of FRT by Europol, it stated that ‘</w:t>
      </w:r>
      <w:r>
        <w:rPr>
          <w:shd w:val="clear" w:color="auto" w:fill="FFFFFF"/>
        </w:rPr>
        <w:t>The current tool compares faces in Europol’s systems such as the Europol Information System or the Europol Analysis System […], but there are no automatic checks against systems outside the Europol domain.’</w:t>
      </w:r>
      <w:r>
        <w:rPr>
          <w:rStyle w:val="Refdenotaalpie"/>
          <w:shd w:val="clear" w:color="auto" w:fill="FFFFFF"/>
        </w:rPr>
        <w:footnoteReference w:id="13"/>
      </w:r>
      <w:r>
        <w:rPr>
          <w:shd w:val="clear" w:color="auto" w:fill="FFFFFF"/>
        </w:rPr>
        <w:t xml:space="preserve"> </w:t>
      </w:r>
      <w:r w:rsidR="00AD6409">
        <w:t>Moreover</w:t>
      </w:r>
      <w:r>
        <w:t>, t</w:t>
      </w:r>
      <w:r>
        <w:rPr>
          <w:shd w:val="clear" w:color="auto" w:fill="FFFFFF"/>
        </w:rPr>
        <w:t>he International Criminal Police Organization (</w:t>
      </w:r>
      <w:r>
        <w:rPr>
          <w:lang w:eastAsia="es-ES"/>
        </w:rPr>
        <w:t>INTERPOL) holds an FRT system that ‘contains facial images received from more than 160 countries which makes it a unique global criminal database’.</w:t>
      </w:r>
      <w:r>
        <w:rPr>
          <w:rStyle w:val="Refdenotaalpie"/>
          <w:lang w:eastAsia="es-ES"/>
        </w:rPr>
        <w:footnoteReference w:id="14"/>
      </w:r>
      <w:r>
        <w:rPr>
          <w:lang w:eastAsia="es-ES"/>
        </w:rPr>
        <w:t xml:space="preserve"> According to INTERPOL’s website ‘</w:t>
      </w:r>
      <w:r>
        <w:rPr>
          <w:iCs/>
          <w:lang w:eastAsia="es-ES"/>
        </w:rPr>
        <w:t>More than 650 criminals, fugitives, persons of interest or missing persons have been identified since the launch of INTERPOL’s facial recognition system at the end of 2016’.</w:t>
      </w:r>
      <w:r>
        <w:rPr>
          <w:rStyle w:val="Refdenotaalpie"/>
          <w:iCs/>
          <w:lang w:eastAsia="es-ES"/>
        </w:rPr>
        <w:footnoteReference w:id="15"/>
      </w:r>
      <w:r>
        <w:rPr>
          <w:iCs/>
          <w:lang w:eastAsia="es-ES"/>
        </w:rPr>
        <w:t xml:space="preserve"> </w:t>
      </w:r>
      <w:r w:rsidR="00AD6409">
        <w:rPr>
          <w:iCs/>
          <w:lang w:eastAsia="es-ES"/>
        </w:rPr>
        <w:t>INTERPOL’s</w:t>
      </w:r>
      <w:r w:rsidR="00AD6409" w:rsidRPr="00AD6409">
        <w:rPr>
          <w:iCs/>
          <w:lang w:eastAsia="es-ES"/>
        </w:rPr>
        <w:t xml:space="preserve"> secure national police communications system, I-24/7, offers access to databases. This technological network integrates law enforcement</w:t>
      </w:r>
      <w:r w:rsidR="00AD6409">
        <w:rPr>
          <w:iCs/>
          <w:lang w:eastAsia="es-ES"/>
        </w:rPr>
        <w:t xml:space="preserve"> bodies</w:t>
      </w:r>
      <w:r w:rsidR="00AD6409" w:rsidRPr="00AD6409">
        <w:rPr>
          <w:iCs/>
          <w:lang w:eastAsia="es-ES"/>
        </w:rPr>
        <w:t xml:space="preserve"> in all </w:t>
      </w:r>
      <w:r w:rsidR="00AD6409">
        <w:rPr>
          <w:iCs/>
          <w:lang w:eastAsia="es-ES"/>
        </w:rPr>
        <w:t>MS</w:t>
      </w:r>
      <w:r w:rsidR="00AD6409" w:rsidRPr="00AD6409">
        <w:rPr>
          <w:iCs/>
          <w:lang w:eastAsia="es-ES"/>
        </w:rPr>
        <w:t xml:space="preserve"> and helps approved users to transmit important and urgent police information to their counterparts worldwide.</w:t>
      </w:r>
    </w:p>
    <w:p w14:paraId="23265F35" w14:textId="71477E54" w:rsidR="005B7150" w:rsidRDefault="005B7150" w:rsidP="005B7150">
      <w:pPr>
        <w:autoSpaceDE w:val="0"/>
        <w:autoSpaceDN w:val="0"/>
        <w:adjustRightInd w:val="0"/>
        <w:spacing w:after="100" w:line="360" w:lineRule="auto"/>
        <w:jc w:val="both"/>
      </w:pPr>
      <w:r>
        <w:lastRenderedPageBreak/>
        <w:t>FRT has also been recently used to detect whether people are lying. Recent research at selected EU external borders has integrated FRT and other technologies for detecting whether an individual speaks the truth in the framework of the Integrated Portable Control System (iBorderCtrl) project</w:t>
      </w:r>
      <w:r w:rsidR="00AD6409">
        <w:t xml:space="preserve"> (European Commission 2018)</w:t>
      </w:r>
      <w:r>
        <w:t>.</w:t>
      </w:r>
      <w:r>
        <w:rPr>
          <w:rStyle w:val="Refdenotaalpie"/>
        </w:rPr>
        <w:footnoteReference w:id="16"/>
      </w:r>
      <w:r w:rsidR="00601C6C">
        <w:t xml:space="preserve"> The use of FRT for what has been called ‘sentiment analysis’ has raised concerns over its real ‘scientifical’ value (Vincent 2017) (Bendel 2018) (Chinoy 2019). At this respect, accountability will be difficult to assess. </w:t>
      </w:r>
    </w:p>
    <w:p w14:paraId="121F4122" w14:textId="77777777" w:rsidR="005B7150" w:rsidRPr="00AD6409" w:rsidRDefault="005B7150" w:rsidP="00AD6409">
      <w:pPr>
        <w:pStyle w:val="Ttulo3"/>
      </w:pPr>
      <w:r w:rsidRPr="00AD6409">
        <w:t>Health</w:t>
      </w:r>
      <w:r w:rsidRPr="00AD6409">
        <w:tab/>
      </w:r>
    </w:p>
    <w:p w14:paraId="541276C3" w14:textId="78C16CFB" w:rsidR="005B7150" w:rsidRDefault="005B7150" w:rsidP="005B7150">
      <w:pPr>
        <w:spacing w:line="360" w:lineRule="auto"/>
        <w:jc w:val="both"/>
        <w:rPr>
          <w:shd w:val="clear" w:color="auto" w:fill="FFFFFF"/>
        </w:rPr>
      </w:pPr>
      <w:r>
        <w:t xml:space="preserve">In the health sector, FRT-AI has been mainly used to </w:t>
      </w:r>
      <w:r>
        <w:rPr>
          <w:shd w:val="clear" w:color="auto" w:fill="FFFFFF"/>
        </w:rPr>
        <w:t>track a patient's utilization of medication more precisely; distinguish hereditary illnesses, for example, diagnosis of DiGeorge disorder with a success rate of 96.6%</w:t>
      </w:r>
      <w:r w:rsidR="00AD6409">
        <w:rPr>
          <w:shd w:val="clear" w:color="auto" w:fill="FFFFFF"/>
        </w:rPr>
        <w:t xml:space="preserve"> (Kruszka, Addissie et. al 2017)</w:t>
      </w:r>
      <w:r>
        <w:rPr>
          <w:shd w:val="clear" w:color="auto" w:fill="FFFFFF"/>
        </w:rPr>
        <w:t xml:space="preserve">, and bolster pain management systems. </w:t>
      </w:r>
    </w:p>
    <w:p w14:paraId="636306A2" w14:textId="77777777" w:rsidR="005B7150" w:rsidRDefault="005B7150" w:rsidP="005B7150">
      <w:pPr>
        <w:spacing w:line="360" w:lineRule="auto"/>
        <w:jc w:val="both"/>
      </w:pPr>
      <w:r>
        <w:rPr>
          <w:shd w:val="clear" w:color="auto" w:fill="FFFFFF"/>
        </w:rPr>
        <w:t xml:space="preserve">FRT-AI has also played an important role during the COVID-19 health emergency. </w:t>
      </w:r>
      <w:r>
        <w:t>For instance, Russia has used FRT and a 170,000- camera system to detect whether people violated quarantine and self-isolation,</w:t>
      </w:r>
      <w:r>
        <w:rPr>
          <w:rStyle w:val="Refdenotaalpie"/>
        </w:rPr>
        <w:footnoteReference w:id="17"/>
      </w:r>
      <w:r>
        <w:t xml:space="preserve"> and, in this context, Chinese companies are working on an FRT system that can recognize faces even with facial masks.</w:t>
      </w:r>
      <w:r>
        <w:rPr>
          <w:rStyle w:val="Refdenotaalpie"/>
        </w:rPr>
        <w:footnoteReference w:id="18"/>
      </w:r>
    </w:p>
    <w:p w14:paraId="69024EFD" w14:textId="3A187788" w:rsidR="005B7150" w:rsidRDefault="005B7150" w:rsidP="005B7150">
      <w:pPr>
        <w:spacing w:line="360" w:lineRule="auto"/>
        <w:jc w:val="both"/>
      </w:pPr>
      <w:r>
        <w:t>Given the current uses of FRT nowadays, the global experience of COVID-19 may prompt more extensive utilization of facial recognition and comparable ‘touch</w:t>
      </w:r>
      <w:r w:rsidR="00AD6409">
        <w:t>-free</w:t>
      </w:r>
      <w:r>
        <w:t>’ systems. Assuming this is the case, it is conceivable that facial recognition and comparative advances that limit up close and face-to-face encounters will become the no</w:t>
      </w:r>
      <w:r w:rsidR="00D17793">
        <w:t>r</w:t>
      </w:r>
      <w:r>
        <w:t>m s for ‘checking in’ large numbers of individuals.</w:t>
      </w:r>
      <w:r>
        <w:rPr>
          <w:rStyle w:val="Refdenotaalpie"/>
        </w:rPr>
        <w:footnoteReference w:id="19"/>
      </w:r>
      <w:r w:rsidR="00601C6C">
        <w:t xml:space="preserve"> This gives rise to the concern of </w:t>
      </w:r>
      <w:r w:rsidR="00601C6C">
        <w:lastRenderedPageBreak/>
        <w:t>whether the COVID-19 health emergency will serve as an excuse to implement a surveillance state as far as FRT is regarded and the consequent accountability by the public sector.</w:t>
      </w:r>
    </w:p>
    <w:p w14:paraId="60E5AA68" w14:textId="77777777" w:rsidR="005B7150" w:rsidRPr="00AD6409" w:rsidRDefault="005B7150" w:rsidP="00AD6409">
      <w:pPr>
        <w:pStyle w:val="Ttulo3"/>
      </w:pPr>
      <w:r w:rsidRPr="00AD6409">
        <w:t>Marketing</w:t>
      </w:r>
      <w:r w:rsidRPr="00AD6409">
        <w:tab/>
      </w:r>
    </w:p>
    <w:p w14:paraId="65C74DDE" w14:textId="1E7C426F" w:rsidR="005B7150" w:rsidRDefault="005B7150" w:rsidP="005B7150">
      <w:pPr>
        <w:spacing w:line="360" w:lineRule="auto"/>
        <w:jc w:val="both"/>
        <w:rPr>
          <w:shd w:val="clear" w:color="auto" w:fill="FFFFFF"/>
        </w:rPr>
      </w:pPr>
      <w:r>
        <w:rPr>
          <w:shd w:val="clear" w:color="auto" w:fill="FFFFFF"/>
        </w:rPr>
        <w:t>In the advertising and retail field, there have been some initiatives such as Know Your Customer,</w:t>
      </w:r>
      <w:r>
        <w:rPr>
          <w:rStyle w:val="Refdenotaalpie"/>
          <w:shd w:val="clear" w:color="auto" w:fill="FFFFFF"/>
        </w:rPr>
        <w:footnoteReference w:id="20"/>
      </w:r>
      <w:r>
        <w:rPr>
          <w:shd w:val="clear" w:color="auto" w:fill="FFFFFF"/>
        </w:rPr>
        <w:t xml:space="preserve"> a system that allows by putting cameras in retail outlets, to dissect the conduct of customers and improve the client buying process. The American retail establishment Saks Fifth Avenue is as of now utilizing such a system. Amazon GO stores are also supposedly utilizing it.</w:t>
      </w:r>
      <w:r>
        <w:rPr>
          <w:rStyle w:val="Refdenotaalpie"/>
          <w:shd w:val="clear" w:color="auto" w:fill="FFFFFF"/>
        </w:rPr>
        <w:footnoteReference w:id="21"/>
      </w:r>
      <w:r>
        <w:rPr>
          <w:shd w:val="clear" w:color="auto" w:fill="FFFFFF"/>
        </w:rPr>
        <w:t xml:space="preserve"> Since 2017, KFC and Chinese retail and tech mammoth Alibaba have been trying an FRT ordering and payment system in Hangzhou, China.</w:t>
      </w:r>
      <w:r>
        <w:rPr>
          <w:rStyle w:val="Refdenotaalpie"/>
          <w:shd w:val="clear" w:color="auto" w:fill="FFFFFF"/>
        </w:rPr>
        <w:footnoteReference w:id="22"/>
      </w:r>
      <w:r w:rsidR="00583D4A">
        <w:rPr>
          <w:shd w:val="clear" w:color="auto" w:fill="FFFFFF"/>
        </w:rPr>
        <w:t xml:space="preserve"> This gives rise to accountability for the use of FRT within private organisations.</w:t>
      </w:r>
      <w:r w:rsidR="00BB6476">
        <w:rPr>
          <w:shd w:val="clear" w:color="auto" w:fill="FFFFFF"/>
        </w:rPr>
        <w:t xml:space="preserve"> It might be difficult to assess such intrusion within the rights of the subjects for merely marketing purposes.</w:t>
      </w:r>
    </w:p>
    <w:p w14:paraId="200D5DD1" w14:textId="77777777" w:rsidR="000D011F" w:rsidRDefault="000D011F" w:rsidP="005B7150">
      <w:pPr>
        <w:spacing w:line="360" w:lineRule="auto"/>
        <w:jc w:val="both"/>
        <w:rPr>
          <w:shd w:val="clear" w:color="auto" w:fill="FFFFFF"/>
        </w:rPr>
      </w:pPr>
    </w:p>
    <w:p w14:paraId="552FD67E" w14:textId="77777777" w:rsidR="005B7150" w:rsidRPr="00D17793" w:rsidRDefault="005B7150" w:rsidP="00D17793">
      <w:pPr>
        <w:pStyle w:val="Prrafodelista"/>
        <w:numPr>
          <w:ilvl w:val="0"/>
          <w:numId w:val="1"/>
        </w:numPr>
        <w:spacing w:line="360" w:lineRule="auto"/>
        <w:jc w:val="both"/>
        <w:rPr>
          <w:rFonts w:asciiTheme="majorBidi" w:hAnsiTheme="majorBidi" w:cstheme="majorBidi"/>
          <w:b/>
          <w:bCs/>
        </w:rPr>
      </w:pPr>
      <w:r w:rsidRPr="00D17793">
        <w:rPr>
          <w:rFonts w:asciiTheme="majorBidi" w:hAnsiTheme="majorBidi" w:cstheme="majorBidi"/>
          <w:b/>
          <w:bCs/>
        </w:rPr>
        <w:t>Legal considerations of Facial Recognition Technology</w:t>
      </w:r>
    </w:p>
    <w:p w14:paraId="27448826" w14:textId="59C54FED" w:rsidR="005B7150" w:rsidRDefault="005B7150" w:rsidP="005B7150">
      <w:pPr>
        <w:spacing w:line="360" w:lineRule="auto"/>
        <w:jc w:val="both"/>
      </w:pPr>
      <w:r>
        <w:t xml:space="preserve">There is an interesting dichotomy between Europe and the U.S. regarding FRT. On the one hand, Europe holds the highest- ranked data protection regulation all over the world. This circumstance inevitably leads to the European legal system for most of the things concerning privacy, data protection/management and FRT. It is also the place where the technological and ethical debate surrounding FRT is starting to arise at the moment. Consequently, it allows the observer to follow all the steps concerning development, implantation, regulation, etc. of the technology. However, the U.S. is far advanced regarding the technological and legal aspects of FRT since, as will be shown below, it is now the only legal system with laws on FRT. </w:t>
      </w:r>
    </w:p>
    <w:p w14:paraId="349D168B" w14:textId="2619C273" w:rsidR="005B7150" w:rsidRPr="00DD2965" w:rsidRDefault="00B46524" w:rsidP="00DD2965">
      <w:pPr>
        <w:pStyle w:val="Ttulo3"/>
      </w:pPr>
      <w:r w:rsidRPr="00DD2965">
        <w:t>L</w:t>
      </w:r>
      <w:r w:rsidR="005B7150" w:rsidRPr="00DD2965">
        <w:t>egal definitions</w:t>
      </w:r>
    </w:p>
    <w:p w14:paraId="0976A55F" w14:textId="77777777" w:rsidR="005B7150" w:rsidRPr="00DD2965" w:rsidRDefault="005B7150" w:rsidP="005B7150">
      <w:pPr>
        <w:pStyle w:val="Prrafodelista"/>
        <w:spacing w:line="360" w:lineRule="auto"/>
        <w:ind w:left="1080" w:hanging="371"/>
        <w:jc w:val="both"/>
        <w:rPr>
          <w:i/>
        </w:rPr>
      </w:pPr>
      <w:r w:rsidRPr="00DD2965">
        <w:rPr>
          <w:i/>
        </w:rPr>
        <w:t>European Union</w:t>
      </w:r>
    </w:p>
    <w:p w14:paraId="27B2DCF1" w14:textId="6484C78E" w:rsidR="005B7150" w:rsidRDefault="005B7150" w:rsidP="005B7150">
      <w:pPr>
        <w:spacing w:line="360" w:lineRule="auto"/>
        <w:jc w:val="both"/>
        <w:rPr>
          <w:shd w:val="clear" w:color="auto" w:fill="FFFFFF"/>
        </w:rPr>
      </w:pPr>
      <w:r>
        <w:rPr>
          <w:shd w:val="clear" w:color="auto" w:fill="FFFFFF"/>
        </w:rPr>
        <w:lastRenderedPageBreak/>
        <w:t xml:space="preserve">Currently, there is no specific regulation governing the use of FRT at the European level. </w:t>
      </w:r>
      <w:r w:rsidR="00C76C7E">
        <w:rPr>
          <w:shd w:val="clear" w:color="auto" w:fill="FFFFFF"/>
        </w:rPr>
        <w:t>Regulations on AI by both the European Union and the Council of Europe are expected by the first half of 2021 but it is unknown whether they will include any provision on FRT.</w:t>
      </w:r>
      <w:r w:rsidR="00C76C7E">
        <w:rPr>
          <w:rStyle w:val="Refdenotaalpie"/>
          <w:shd w:val="clear" w:color="auto" w:fill="FFFFFF"/>
        </w:rPr>
        <w:footnoteReference w:id="23"/>
      </w:r>
      <w:r w:rsidR="00C76C7E">
        <w:rPr>
          <w:shd w:val="clear" w:color="auto" w:fill="FFFFFF"/>
        </w:rPr>
        <w:t xml:space="preserve"> </w:t>
      </w:r>
      <w:r>
        <w:rPr>
          <w:shd w:val="clear" w:color="auto" w:fill="FFFFFF"/>
        </w:rPr>
        <w:t xml:space="preserve">Therefore, it is impossible to find, under European law, a ‘legal’ definition of FRT. However, we can find some conceptualizations in different documents issued by European </w:t>
      </w:r>
      <w:r w:rsidR="000D011F">
        <w:rPr>
          <w:shd w:val="clear" w:color="auto" w:fill="FFFFFF"/>
        </w:rPr>
        <w:t>institutions</w:t>
      </w:r>
      <w:r>
        <w:rPr>
          <w:shd w:val="clear" w:color="auto" w:fill="FFFFFF"/>
        </w:rPr>
        <w:t>.</w:t>
      </w:r>
      <w:r>
        <w:rPr>
          <w:rStyle w:val="Refdenotaalpie"/>
          <w:shd w:val="clear" w:color="auto" w:fill="FFFFFF"/>
        </w:rPr>
        <w:footnoteReference w:id="24"/>
      </w:r>
    </w:p>
    <w:p w14:paraId="3AB3DC20" w14:textId="0D8C862C" w:rsidR="00C76C7E" w:rsidRPr="00831D8E" w:rsidRDefault="00C76C7E" w:rsidP="00831D8E">
      <w:pPr>
        <w:pStyle w:val="Prrafodelista"/>
        <w:numPr>
          <w:ilvl w:val="0"/>
          <w:numId w:val="8"/>
        </w:numPr>
        <w:autoSpaceDE w:val="0"/>
        <w:autoSpaceDN w:val="0"/>
        <w:adjustRightInd w:val="0"/>
        <w:spacing w:line="360" w:lineRule="auto"/>
        <w:jc w:val="both"/>
        <w:rPr>
          <w:color w:val="FF0000"/>
          <w:lang w:eastAsia="en-US"/>
        </w:rPr>
      </w:pPr>
      <w:r w:rsidRPr="00831D8E">
        <w:rPr>
          <w:color w:val="000000"/>
        </w:rPr>
        <w:t>A29WP provides an extensive definition of FRT. It first defines the concept of ‘digital image’ as a cornerstone to understand the concept of FRT.</w:t>
      </w:r>
      <w:r>
        <w:rPr>
          <w:rStyle w:val="Refdenotaalpie"/>
          <w:color w:val="000000"/>
        </w:rPr>
        <w:footnoteReference w:id="25"/>
      </w:r>
      <w:r w:rsidRPr="00831D8E">
        <w:rPr>
          <w:color w:val="000000"/>
        </w:rPr>
        <w:t xml:space="preserve"> Then, it defines FRT as ‘</w:t>
      </w:r>
      <w:r>
        <w:t>the automatic processing of digital images which contain the faces of individuals for identification, authentication/verification or categorisation of those individuals.’ After that, the text divides the process of facial recognition into a series of subprocesses: image acquisition,</w:t>
      </w:r>
      <w:r>
        <w:rPr>
          <w:rStyle w:val="Refdenotaalpie"/>
        </w:rPr>
        <w:footnoteReference w:id="26"/>
      </w:r>
      <w:r>
        <w:t xml:space="preserve"> face detection,</w:t>
      </w:r>
      <w:r>
        <w:rPr>
          <w:rStyle w:val="Refdenotaalpie"/>
        </w:rPr>
        <w:footnoteReference w:id="27"/>
      </w:r>
      <w:r>
        <w:t xml:space="preserve"> normalisation,</w:t>
      </w:r>
      <w:r>
        <w:rPr>
          <w:rStyle w:val="Refdenotaalpie"/>
        </w:rPr>
        <w:footnoteReference w:id="28"/>
      </w:r>
      <w:r>
        <w:t xml:space="preserve"> feature extraction,</w:t>
      </w:r>
      <w:r>
        <w:rPr>
          <w:rStyle w:val="Refdenotaalpie"/>
        </w:rPr>
        <w:footnoteReference w:id="29"/>
      </w:r>
      <w:r>
        <w:t xml:space="preserve"> enrolment,</w:t>
      </w:r>
      <w:r>
        <w:rPr>
          <w:rStyle w:val="Refdenotaalpie"/>
        </w:rPr>
        <w:footnoteReference w:id="30"/>
      </w:r>
      <w:r>
        <w:t xml:space="preserve"> and comparison.</w:t>
      </w:r>
      <w:r>
        <w:rPr>
          <w:rStyle w:val="Refdenotaalpie"/>
        </w:rPr>
        <w:footnoteReference w:id="31"/>
      </w:r>
    </w:p>
    <w:p w14:paraId="3EBEAD30" w14:textId="38BA110E" w:rsidR="00831D8E" w:rsidRPr="00831D8E" w:rsidRDefault="00831D8E" w:rsidP="00831D8E">
      <w:pPr>
        <w:pStyle w:val="Prrafodelista"/>
        <w:autoSpaceDE w:val="0"/>
        <w:autoSpaceDN w:val="0"/>
        <w:adjustRightInd w:val="0"/>
        <w:spacing w:line="360" w:lineRule="auto"/>
        <w:ind w:left="360"/>
        <w:jc w:val="both"/>
        <w:rPr>
          <w:color w:val="FF0000"/>
          <w:lang w:eastAsia="en-US"/>
        </w:rPr>
      </w:pPr>
      <w:r>
        <w:t xml:space="preserve">Therefore, this definition is centred in the different functions of the technology, rather than in the technology itself. Moreover, it establishes an intermediary phase between ‘detection’ and ‘extraction’ being ‘normalisation’ that other definitions do not include. Finally, the definition states </w:t>
      </w:r>
      <w:r w:rsidR="0072782D">
        <w:t>an</w:t>
      </w:r>
      <w:r>
        <w:t xml:space="preserve"> additional phase of ‘enrolment</w:t>
      </w:r>
      <w:r w:rsidR="0072782D">
        <w:t>’.</w:t>
      </w:r>
    </w:p>
    <w:p w14:paraId="21108780" w14:textId="48086CD7" w:rsidR="00C76C7E" w:rsidRDefault="00C76C7E" w:rsidP="00831D8E">
      <w:pPr>
        <w:pStyle w:val="Prrafodelista"/>
        <w:numPr>
          <w:ilvl w:val="0"/>
          <w:numId w:val="8"/>
        </w:numPr>
        <w:spacing w:after="160" w:line="360" w:lineRule="auto"/>
        <w:jc w:val="both"/>
      </w:pPr>
      <w:r w:rsidRPr="00831D8E">
        <w:rPr>
          <w:shd w:val="clear" w:color="auto" w:fill="FFFFFF"/>
        </w:rPr>
        <w:lastRenderedPageBreak/>
        <w:t xml:space="preserve">In a study about ‘A governance framework for algorithmic accountability and transparency’ by the </w:t>
      </w:r>
      <w:r w:rsidRPr="00831D8E">
        <w:rPr>
          <w:iCs/>
          <w:shd w:val="clear" w:color="auto" w:fill="FFFFFF"/>
        </w:rPr>
        <w:t>European Parliamentary Research Service</w:t>
      </w:r>
      <w:r w:rsidR="0059050B">
        <w:rPr>
          <w:iCs/>
          <w:shd w:val="clear" w:color="auto" w:fill="FFFFFF"/>
        </w:rPr>
        <w:t xml:space="preserve"> (Koene, Clifton et. al. 2019)</w:t>
      </w:r>
      <w:r w:rsidRPr="00831D8E">
        <w:rPr>
          <w:iCs/>
          <w:shd w:val="clear" w:color="auto" w:fill="FFFFFF"/>
        </w:rPr>
        <w:t>, FRT is defined in terms of its functions as to ‘</w:t>
      </w:r>
      <w:r>
        <w:t>identify and/or verify human faces from a digital or video image’</w:t>
      </w:r>
      <w:r w:rsidR="0059050B">
        <w:t xml:space="preserve">. </w:t>
      </w:r>
      <w:r>
        <w:t xml:space="preserve">The study continues explaining that: ‘Typically, they work via algorithms that identify facial features from the source image and compare them across a dataset’. There is also a mention of the addition of AI to FRT: ‘In recent years, advances in Artificial Intelligence and Machine Learning have increased the capacity and sophistication of these technologies, making them a standard part of consumer goods […]’. </w:t>
      </w:r>
    </w:p>
    <w:p w14:paraId="60DA7453" w14:textId="50C4324E" w:rsidR="0059050B" w:rsidRDefault="0059050B" w:rsidP="0059050B">
      <w:pPr>
        <w:pStyle w:val="Prrafodelista"/>
        <w:spacing w:after="160" w:line="360" w:lineRule="auto"/>
        <w:ind w:left="360"/>
        <w:jc w:val="both"/>
      </w:pPr>
      <w:r>
        <w:t>As in the previous example, this definition does not refer to the technology itself but its functionality.</w:t>
      </w:r>
      <w:r w:rsidR="0028203E">
        <w:t xml:space="preserve"> This definition, however, does not explain the characteristics of the dataset used to ‘compare’ with the ‘source image’. </w:t>
      </w:r>
    </w:p>
    <w:p w14:paraId="2A246BBB" w14:textId="77777777" w:rsidR="006F1AE6" w:rsidRPr="006F1AE6" w:rsidRDefault="00C76C7E" w:rsidP="007507CA">
      <w:pPr>
        <w:pStyle w:val="Prrafodelista"/>
        <w:numPr>
          <w:ilvl w:val="0"/>
          <w:numId w:val="8"/>
        </w:numPr>
        <w:spacing w:after="160" w:line="360" w:lineRule="auto"/>
        <w:ind w:left="426"/>
        <w:jc w:val="both"/>
      </w:pPr>
      <w:r>
        <w:t xml:space="preserve">Probably, one of the most </w:t>
      </w:r>
      <w:r w:rsidR="0028203E">
        <w:t>extensive</w:t>
      </w:r>
      <w:r>
        <w:t xml:space="preserve"> documents now on FRT by the European institutions is ‘Facial recognition technology: fundamental rights considerations in the context of law enforcement’, a publication by the European Union Agency for Fundamental Rights (FRA).</w:t>
      </w:r>
      <w:r w:rsidR="0028203E">
        <w:t xml:space="preserve"> </w:t>
      </w:r>
      <w:r>
        <w:t>This paper states that FRT ‘</w:t>
      </w:r>
      <w:r w:rsidRPr="006F1AE6">
        <w:rPr>
          <w:color w:val="000000"/>
        </w:rPr>
        <w:t>allows the auto</w:t>
      </w:r>
      <w:r w:rsidRPr="006F1AE6">
        <w:rPr>
          <w:color w:val="000000"/>
        </w:rPr>
        <w:softHyphen/>
        <w:t>matic identification of an individual by matching two or more faces from digital images. It does this by detecting and measuring various facial features, extracting these from the image and, in a second step, comparing them with features taken from other faces’. The paper says in a posterior section that ‘Facial recognition technologies are biometric sys</w:t>
      </w:r>
      <w:r w:rsidRPr="006F1AE6">
        <w:rPr>
          <w:color w:val="000000"/>
        </w:rPr>
        <w:softHyphen/>
        <w:t xml:space="preserve">tems that allow the automatic identification and matching of a person’s face. The technology extracts and further processes biometric data by creating a ‘biometric template’. </w:t>
      </w:r>
    </w:p>
    <w:p w14:paraId="6F32775F" w14:textId="2439697F" w:rsidR="006F1AE6" w:rsidRDefault="00C76C7E" w:rsidP="006F1AE6">
      <w:pPr>
        <w:pStyle w:val="Prrafodelista"/>
        <w:spacing w:after="160" w:line="360" w:lineRule="auto"/>
        <w:ind w:left="426"/>
        <w:jc w:val="both"/>
      </w:pPr>
      <w:r w:rsidRPr="006F1AE6">
        <w:rPr>
          <w:color w:val="000000"/>
        </w:rPr>
        <w:t>This definition introduces the term ‘biometric’ regarding FRT for the first time, assuming that the human face is a biometric feature and facial images are therefore biometric data. The document introduces the scientific concept of ‘biometric template’ and it also addresses to the FRT definition by the A29WP in its Opinion 02/</w:t>
      </w:r>
      <w:r>
        <w:t xml:space="preserve">2012. </w:t>
      </w:r>
      <w:r w:rsidR="0028203E">
        <w:t xml:space="preserve">Moreover, </w:t>
      </w:r>
      <w:r w:rsidR="0028203E" w:rsidRPr="006F1AE6">
        <w:rPr>
          <w:color w:val="000000"/>
        </w:rPr>
        <w:t>this definition is again only referred to a function of the technology, specifically identification.</w:t>
      </w:r>
      <w:r w:rsidR="006F1AE6" w:rsidRPr="006F1AE6">
        <w:rPr>
          <w:color w:val="000000"/>
        </w:rPr>
        <w:t xml:space="preserve"> </w:t>
      </w:r>
      <w:r w:rsidR="006F1AE6">
        <w:t>Lastly, whereas the definitions by Koene and</w:t>
      </w:r>
      <w:r w:rsidR="00174A7C">
        <w:t xml:space="preserve"> </w:t>
      </w:r>
      <w:r w:rsidR="006F1AE6">
        <w:t>others and A29WP referred only to ‘comparison’, the study by the European Union Agency for Fundamental Rights only named ‘matching’.</w:t>
      </w:r>
    </w:p>
    <w:p w14:paraId="176F9ADA" w14:textId="167BA18F" w:rsidR="00C76C7E" w:rsidRPr="00516710" w:rsidRDefault="00C76C7E" w:rsidP="00516710">
      <w:pPr>
        <w:pStyle w:val="Prrafodelista"/>
        <w:numPr>
          <w:ilvl w:val="0"/>
          <w:numId w:val="8"/>
        </w:numPr>
        <w:spacing w:line="360" w:lineRule="auto"/>
        <w:jc w:val="both"/>
        <w:rPr>
          <w:color w:val="FF0000"/>
        </w:rPr>
      </w:pPr>
      <w:r>
        <w:lastRenderedPageBreak/>
        <w:t>There has been only one case in Europe up to this moment where FRT w</w:t>
      </w:r>
      <w:r w:rsidR="00516710">
        <w:t>as</w:t>
      </w:r>
      <w:r>
        <w:t xml:space="preserve"> involved. In the case </w:t>
      </w:r>
      <w:r w:rsidRPr="00516710">
        <w:rPr>
          <w:i/>
        </w:rPr>
        <w:t>Edward Bridges v. Chief Constable of South Wales Police (2019),</w:t>
      </w:r>
      <w:r>
        <w:rPr>
          <w:rStyle w:val="Refdenotaalpie"/>
          <w:i/>
        </w:rPr>
        <w:footnoteReference w:id="32"/>
      </w:r>
      <w:r>
        <w:t xml:space="preserve"> regarding the application of FRT for law enforcement purposes in Cardiff, Wales.  FRT (in this case referred as Automatic Facial Recognition) is defined as ‘a way of assessing whether two facial images depict the same person’. This definition may seem again much focused on the functionality of the technology, but the decision also explains how it achieves its goal: ‘A digital photograph of a person’s face is taken and processed to extract biometric data […]; that data is then compared with facial biometric data from images contained in a database’. This explanation focuses more on the </w:t>
      </w:r>
      <w:r w:rsidR="00BC0EB6">
        <w:t>proce</w:t>
      </w:r>
      <w:r w:rsidR="00601C6C">
        <w:t>dural</w:t>
      </w:r>
      <w:r>
        <w:t xml:space="preserve"> aspect of FRT. Then, the case, in a similar way as in A29WP’s Opinion 02/2012, states the stages which comprise the technical operation of ART: ‘Compiling/using an existing database of images</w:t>
      </w:r>
      <w:r>
        <w:rPr>
          <w:rStyle w:val="Refdenotaalpie"/>
        </w:rPr>
        <w:footnoteReference w:id="33"/>
      </w:r>
      <w:r>
        <w:t>’, ‘Facial image acquisition</w:t>
      </w:r>
      <w:r>
        <w:rPr>
          <w:rStyle w:val="Refdenotaalpie"/>
        </w:rPr>
        <w:footnoteReference w:id="34"/>
      </w:r>
      <w:r>
        <w:t>’, ‘Face detection</w:t>
      </w:r>
      <w:r>
        <w:rPr>
          <w:rStyle w:val="Refdenotaalpie"/>
        </w:rPr>
        <w:footnoteReference w:id="35"/>
      </w:r>
      <w:r>
        <w:t>’, ‘Feature extraction</w:t>
      </w:r>
      <w:r>
        <w:rPr>
          <w:rStyle w:val="Refdenotaalpie"/>
        </w:rPr>
        <w:footnoteReference w:id="36"/>
      </w:r>
      <w:r>
        <w:t>’, ‘Face comparison</w:t>
      </w:r>
      <w:r>
        <w:rPr>
          <w:rStyle w:val="Refdenotaalpie"/>
        </w:rPr>
        <w:footnoteReference w:id="37"/>
      </w:r>
      <w:r>
        <w:t>’ and ‘Matching</w:t>
      </w:r>
      <w:r>
        <w:rPr>
          <w:rStyle w:val="Refdenotaalpie"/>
        </w:rPr>
        <w:footnoteReference w:id="38"/>
      </w:r>
      <w:r>
        <w:t xml:space="preserve">’. </w:t>
      </w:r>
      <w:r w:rsidR="00B9618E">
        <w:t xml:space="preserve">The </w:t>
      </w:r>
      <w:r w:rsidR="00B9618E">
        <w:lastRenderedPageBreak/>
        <w:t xml:space="preserve">High </w:t>
      </w:r>
      <w:r w:rsidR="0009212B">
        <w:t>C</w:t>
      </w:r>
      <w:r w:rsidR="00B9618E">
        <w:t xml:space="preserve">ourt of </w:t>
      </w:r>
      <w:r w:rsidR="0009212B">
        <w:t>J</w:t>
      </w:r>
      <w:r w:rsidR="00B9618E">
        <w:t xml:space="preserve">ustice </w:t>
      </w:r>
      <w:r w:rsidR="0009212B">
        <w:t>Q</w:t>
      </w:r>
      <w:r w:rsidR="00B9618E">
        <w:t xml:space="preserve">ueen’s </w:t>
      </w:r>
      <w:r w:rsidR="0009212B">
        <w:t>B</w:t>
      </w:r>
      <w:r w:rsidR="00B9618E">
        <w:t xml:space="preserve">ench </w:t>
      </w:r>
      <w:r w:rsidR="0009212B">
        <w:t>D</w:t>
      </w:r>
      <w:r w:rsidR="00B9618E">
        <w:t>ivision (</w:t>
      </w:r>
      <w:r w:rsidR="0009212B">
        <w:t>A</w:t>
      </w:r>
      <w:r w:rsidR="00B9618E">
        <w:t xml:space="preserve">dministrative </w:t>
      </w:r>
      <w:r w:rsidR="0009212B">
        <w:t>C</w:t>
      </w:r>
      <w:r w:rsidR="00B9618E">
        <w:t>ourt)</w:t>
      </w:r>
      <w:r w:rsidR="0009212B">
        <w:t xml:space="preserve"> ruled that law enforcement’s use of FRT (AFR) was compatible with the Data Protection Act. However, the decision was appealed and the Court of Appeal ruled the use of FRT (AFR) breached the right to privacy.</w:t>
      </w:r>
      <w:r w:rsidR="0009212B">
        <w:rPr>
          <w:rStyle w:val="Refdenotaalpie"/>
        </w:rPr>
        <w:footnoteReference w:id="39"/>
      </w:r>
    </w:p>
    <w:p w14:paraId="2F945FF5" w14:textId="39C8F5B7" w:rsidR="00C76C7E" w:rsidRDefault="0009212B" w:rsidP="0009212B">
      <w:pPr>
        <w:spacing w:line="360" w:lineRule="auto"/>
        <w:ind w:left="360"/>
        <w:jc w:val="both"/>
      </w:pPr>
      <w:r>
        <w:t>As opposed to previous definitions, t</w:t>
      </w:r>
      <w:r w:rsidR="00C76C7E">
        <w:t xml:space="preserve">he decision establishes a preliminary step of: ‘Compiling/using an existing database of images’ (more than a stage on the process performed by FRT it should be considered a prior operation to operate with this technology). Finally, the judicial decision refers to ‘comparison’ and ‘matching’ as two different elements. </w:t>
      </w:r>
    </w:p>
    <w:p w14:paraId="6A320DC6" w14:textId="0B09D24A" w:rsidR="00C76C7E" w:rsidRDefault="00C76C7E" w:rsidP="00C76C7E">
      <w:pPr>
        <w:spacing w:line="360" w:lineRule="auto"/>
        <w:jc w:val="both"/>
      </w:pPr>
      <w:r>
        <w:t xml:space="preserve">In conclusion, all these definitions refer mainly to the functions of the technology. In this respect, the one by the </w:t>
      </w:r>
      <w:r>
        <w:rPr>
          <w:iCs/>
          <w:shd w:val="clear" w:color="auto" w:fill="FFFFFF"/>
        </w:rPr>
        <w:t>European Parliamentary Research Service</w:t>
      </w:r>
      <w:r>
        <w:t xml:space="preserve"> is the only one that introduces algorithms and AI as elements in conjunction with FRT. </w:t>
      </w:r>
      <w:r w:rsidR="003A69B7">
        <w:t>Moreover, t</w:t>
      </w:r>
      <w:r>
        <w:t xml:space="preserve">he definition by FRA is the only one using the concept of ‘biometric template’. </w:t>
      </w:r>
      <w:r w:rsidR="003A69B7">
        <w:t>Furthermore, t</w:t>
      </w:r>
      <w:r>
        <w:t xml:space="preserve">here exist some imprecisions in the indistinctive use of the terms ‘comparison’ and ‘matching’, as mentioned above. </w:t>
      </w:r>
      <w:r w:rsidR="00601C6C">
        <w:t>Besides</w:t>
      </w:r>
      <w:r w:rsidR="003A69B7">
        <w:t xml:space="preserve">, </w:t>
      </w:r>
      <w:r>
        <w:t xml:space="preserve">A29WP is the only definition that states the preliminary concept of ‘digital image’. </w:t>
      </w:r>
      <w:r w:rsidR="003A69B7">
        <w:t>Finally, b</w:t>
      </w:r>
      <w:r>
        <w:t>oth A29WP and the judicial decision are the most complete definitions in terms of expressing the different stages of the processing, especially the last one.</w:t>
      </w:r>
    </w:p>
    <w:p w14:paraId="12D52538" w14:textId="77777777" w:rsidR="000D011F" w:rsidRDefault="000D011F" w:rsidP="00C76C7E">
      <w:pPr>
        <w:spacing w:line="360" w:lineRule="auto"/>
        <w:jc w:val="both"/>
      </w:pPr>
    </w:p>
    <w:p w14:paraId="51AD1853" w14:textId="77777777" w:rsidR="00C76C7E" w:rsidRPr="002C1F25" w:rsidRDefault="00C76C7E" w:rsidP="00C76C7E">
      <w:pPr>
        <w:pStyle w:val="Prrafodelista"/>
        <w:spacing w:line="360" w:lineRule="auto"/>
        <w:ind w:left="1080" w:hanging="371"/>
        <w:jc w:val="both"/>
        <w:rPr>
          <w:i/>
        </w:rPr>
      </w:pPr>
      <w:r w:rsidRPr="002C1F25">
        <w:rPr>
          <w:i/>
        </w:rPr>
        <w:t>The U.S.</w:t>
      </w:r>
    </w:p>
    <w:p w14:paraId="788AFE64" w14:textId="12E69015" w:rsidR="00C76C7E" w:rsidRDefault="00C76C7E" w:rsidP="00C76C7E">
      <w:pPr>
        <w:spacing w:line="360" w:lineRule="auto"/>
        <w:jc w:val="both"/>
        <w:rPr>
          <w:shd w:val="clear" w:color="auto" w:fill="FFFFFF"/>
        </w:rPr>
      </w:pPr>
      <w:r>
        <w:t>In the privacy field, t</w:t>
      </w:r>
      <w:r>
        <w:rPr>
          <w:shd w:val="clear" w:color="auto" w:fill="FFFFFF"/>
        </w:rPr>
        <w:t>he California Consumer Privacy Act</w:t>
      </w:r>
      <w:r>
        <w:rPr>
          <w:rStyle w:val="Refdenotaalpie"/>
          <w:shd w:val="clear" w:color="auto" w:fill="FFFFFF"/>
        </w:rPr>
        <w:footnoteReference w:id="40"/>
      </w:r>
      <w:r>
        <w:rPr>
          <w:shd w:val="clear" w:color="auto" w:fill="FFFFFF"/>
        </w:rPr>
        <w:t xml:space="preserve"> (CCPA) passed in June 2018, and coming into force on 1 January 2020, implies a genuine effect for security rights and shopper assurance for residents of California, as well as for the entire country. The law has been introduced as a possible model for a government information protection law. In that sense, </w:t>
      </w:r>
      <w:r w:rsidR="002C1F25">
        <w:rPr>
          <w:shd w:val="clear" w:color="auto" w:fill="FFFFFF"/>
        </w:rPr>
        <w:t>it has been</w:t>
      </w:r>
      <w:r>
        <w:rPr>
          <w:shd w:val="clear" w:color="auto" w:fill="FFFFFF"/>
        </w:rPr>
        <w:t xml:space="preserve"> argued that the CCPA can become as significant as the GDPR. </w:t>
      </w:r>
    </w:p>
    <w:p w14:paraId="074E4528" w14:textId="37AB12F3" w:rsidR="00C76C7E" w:rsidRDefault="00C76C7E" w:rsidP="00C76C7E">
      <w:pPr>
        <w:pStyle w:val="Prrafodelista"/>
        <w:numPr>
          <w:ilvl w:val="0"/>
          <w:numId w:val="5"/>
        </w:numPr>
        <w:autoSpaceDE w:val="0"/>
        <w:autoSpaceDN w:val="0"/>
        <w:adjustRightInd w:val="0"/>
        <w:spacing w:line="360" w:lineRule="auto"/>
        <w:jc w:val="both"/>
        <w:rPr>
          <w:color w:val="FF0000"/>
          <w:shd w:val="clear" w:color="auto" w:fill="FFFFFF"/>
        </w:rPr>
      </w:pPr>
      <w:r>
        <w:rPr>
          <w:i/>
          <w:iCs/>
        </w:rPr>
        <w:t>State of California Assembly Bill No.</w:t>
      </w:r>
      <w:r>
        <w:rPr>
          <w:i/>
        </w:rPr>
        <w:t xml:space="preserve"> 1215 (An act to add and repeal Section 832.19 of the Penal Code, relating to law enforcement.)</w:t>
      </w:r>
      <w:r>
        <w:t xml:space="preserve"> It has added a new Section (832.19) to its Penal Code in effect only until January 1, 2023, defining several terms, such as </w:t>
      </w:r>
      <w:r>
        <w:lastRenderedPageBreak/>
        <w:t>biometric data,</w:t>
      </w:r>
      <w:r>
        <w:rPr>
          <w:rStyle w:val="Refdenotaalpie"/>
        </w:rPr>
        <w:footnoteReference w:id="41"/>
      </w:r>
      <w:r>
        <w:t xml:space="preserve"> biometric surveillance system,</w:t>
      </w:r>
      <w:r>
        <w:rPr>
          <w:rStyle w:val="Refdenotaalpie"/>
        </w:rPr>
        <w:footnoteReference w:id="42"/>
      </w:r>
      <w:r>
        <w:t xml:space="preserve"> facial recognition or other biometric surveillance, and surveillance information.</w:t>
      </w:r>
      <w:r>
        <w:rPr>
          <w:rStyle w:val="Refdenotaalpie"/>
        </w:rPr>
        <w:footnoteReference w:id="43"/>
      </w:r>
      <w:r>
        <w:t xml:space="preserve"> FRT and ‘other biometric surveillance’ are defined inseparably as ‘either of the following, alone or in combination: (A) An automated or semi-automated process that captures or analyses biometric data of an individual to identify or assist in identifying an individual. (B)  An automated or semi-automated process that generates, or assists in generating, surveillance information about an individual based on biometric data’. There is also a definition by exclusion stating that FRT and ‘other biometric surveillance does not include the use of an automated or semi-automated process to redact a recording for release or disclosure outside the law enforcement agency to protect the privacy of a subject depicted in the recording if the process does not generate or result in the retention of any biometric data or surveillance information’. Opposite to the European definitions, this one </w:t>
      </w:r>
      <w:r w:rsidR="002C1F25">
        <w:t>incorporates the term ‘biometric surveillance’ (including FRT)</w:t>
      </w:r>
      <w:r>
        <w:t xml:space="preserve"> adopting a wider approach. This decision may answer to the intention of presenting an open definition which might fit </w:t>
      </w:r>
      <w:r w:rsidR="002C1F25">
        <w:t>with</w:t>
      </w:r>
      <w:r>
        <w:t>in the future developments of the technology</w:t>
      </w:r>
      <w:r w:rsidR="002C1F25">
        <w:t xml:space="preserve"> </w:t>
      </w:r>
      <w:r w:rsidR="00E72FC1">
        <w:t>and</w:t>
      </w:r>
      <w:r w:rsidR="002C1F25">
        <w:t xml:space="preserve"> contemplate</w:t>
      </w:r>
      <w:r w:rsidR="00B4268A">
        <w:t>s</w:t>
      </w:r>
      <w:r w:rsidR="002C1F25">
        <w:t xml:space="preserve"> composite systems that include FRT</w:t>
      </w:r>
      <w:r>
        <w:t>.</w:t>
      </w:r>
    </w:p>
    <w:p w14:paraId="60BFC8B3" w14:textId="5AC1901F" w:rsidR="00C76C7E" w:rsidRDefault="00C76C7E" w:rsidP="00C76C7E">
      <w:pPr>
        <w:pStyle w:val="Prrafodelista"/>
        <w:numPr>
          <w:ilvl w:val="0"/>
          <w:numId w:val="5"/>
        </w:numPr>
        <w:autoSpaceDE w:val="0"/>
        <w:autoSpaceDN w:val="0"/>
        <w:adjustRightInd w:val="0"/>
        <w:spacing w:line="360" w:lineRule="auto"/>
        <w:jc w:val="both"/>
        <w:rPr>
          <w:shd w:val="clear" w:color="auto" w:fill="FFFFFF"/>
        </w:rPr>
      </w:pPr>
      <w:r>
        <w:rPr>
          <w:i/>
          <w:iCs/>
          <w:shd w:val="clear" w:color="auto" w:fill="FFFFFF"/>
        </w:rPr>
        <w:t>Face Surveillance Full Ban Ordinance</w:t>
      </w:r>
      <w:r>
        <w:rPr>
          <w:i/>
          <w:shd w:val="clear" w:color="auto" w:fill="FFFFFF"/>
        </w:rPr>
        <w:t xml:space="preserve"> V2-1</w:t>
      </w:r>
      <w:r>
        <w:rPr>
          <w:i/>
        </w:rPr>
        <w:t xml:space="preserve"> (Banning the usage of facial technology surveillance in Somerville)</w:t>
      </w:r>
      <w:r>
        <w:t>.</w:t>
      </w:r>
      <w:r w:rsidR="00B4268A">
        <w:rPr>
          <w:rStyle w:val="Refdenotaalpie"/>
        </w:rPr>
        <w:footnoteReference w:id="44"/>
      </w:r>
      <w:r>
        <w:t xml:space="preserve"> This Ordinance defines ‘Face surveillance’ as ‘an automated or semi-automated process that assists in identifying an individual, capturing information about an individual, based on the physical characteristics of an individual’s face’. It shares some elements with the </w:t>
      </w:r>
      <w:r w:rsidR="00B4268A">
        <w:t>d</w:t>
      </w:r>
      <w:r>
        <w:t>efinition</w:t>
      </w:r>
      <w:r w:rsidR="00B4268A">
        <w:t xml:space="preserve"> within the </w:t>
      </w:r>
      <w:r w:rsidR="00B4268A" w:rsidRPr="00B4268A">
        <w:t>State of California Assembly Bill No. 1215</w:t>
      </w:r>
      <w:r>
        <w:t xml:space="preserve">, such as the categorization as an automated or semi-automated process and the ‘assisting on identification’ function. However, the </w:t>
      </w:r>
      <w:r w:rsidR="00B4268A" w:rsidRPr="00B4268A">
        <w:t>California Assembly Bill No. 1215</w:t>
      </w:r>
      <w:r w:rsidR="00B4268A">
        <w:t>’s</w:t>
      </w:r>
      <w:r>
        <w:t xml:space="preserve"> definition stated ‘biometric data’ as the </w:t>
      </w:r>
      <w:r>
        <w:lastRenderedPageBreak/>
        <w:t>necessary information to carry out the activity, against the ‘physical characteristics of an individual’s face’.</w:t>
      </w:r>
      <w:r w:rsidR="00B4268A">
        <w:rPr>
          <w:rStyle w:val="Refdenotaalpie"/>
        </w:rPr>
        <w:footnoteReference w:id="45"/>
      </w:r>
    </w:p>
    <w:p w14:paraId="3DE937B0" w14:textId="244CEFBC" w:rsidR="00076135" w:rsidRDefault="00C76C7E" w:rsidP="00076135">
      <w:pPr>
        <w:pStyle w:val="Prrafodelista"/>
        <w:numPr>
          <w:ilvl w:val="0"/>
          <w:numId w:val="10"/>
        </w:numPr>
        <w:autoSpaceDE w:val="0"/>
        <w:autoSpaceDN w:val="0"/>
        <w:adjustRightInd w:val="0"/>
        <w:spacing w:line="360" w:lineRule="auto"/>
        <w:jc w:val="both"/>
        <w:rPr>
          <w:shd w:val="clear" w:color="auto" w:fill="FFFFFF"/>
          <w:lang w:eastAsia="en-US"/>
        </w:rPr>
      </w:pPr>
      <w:r w:rsidRPr="00B4268A">
        <w:rPr>
          <w:i/>
          <w:iCs/>
          <w:shd w:val="clear" w:color="auto" w:fill="FFFFFF"/>
        </w:rPr>
        <w:t>Washington State Engrossed Substitute Senate Bill 6280.</w:t>
      </w:r>
      <w:r>
        <w:rPr>
          <w:rStyle w:val="Refdenotaalpie"/>
          <w:i/>
          <w:iCs/>
          <w:shd w:val="clear" w:color="auto" w:fill="FFFFFF"/>
        </w:rPr>
        <w:footnoteReference w:id="46"/>
      </w:r>
      <w:r w:rsidRPr="00B4268A">
        <w:rPr>
          <w:i/>
          <w:iCs/>
          <w:shd w:val="clear" w:color="auto" w:fill="FFFFFF"/>
        </w:rPr>
        <w:t xml:space="preserve"> </w:t>
      </w:r>
      <w:r w:rsidRPr="00B4268A">
        <w:rPr>
          <w:shd w:val="clear" w:color="auto" w:fill="FFFFFF"/>
        </w:rPr>
        <w:t>It defines Facial Recognition Service as ‘technology that analyzes facial features and is used by a state or local government agency for the identification, verification, or persistent tracking of individuals in still or video images’. It also defines Facial Recognition Service by exclusion stating that it does not include ‘(i) The analysis of facial features to grant or deny access to an electronic device; or (ii) the use of an automated or semiautomated process for the purpose of redacting a recording for release or disclosure outside the law enforcement agency to protect the privacy of a subject depicted in the recording, if the process does not generate or result in the retention of any biometric data or surveillance information.’ The law also includes other necessary concepts to understand the performance of the technology such as ‘Enrol’, ‘Enrolled’, or ‘Enrolling’,</w:t>
      </w:r>
      <w:r>
        <w:rPr>
          <w:rStyle w:val="Refdenotaalpie"/>
          <w:shd w:val="clear" w:color="auto" w:fill="FFFFFF"/>
        </w:rPr>
        <w:footnoteReference w:id="47"/>
      </w:r>
      <w:r w:rsidRPr="00B4268A">
        <w:rPr>
          <w:shd w:val="clear" w:color="auto" w:fill="FFFFFF"/>
        </w:rPr>
        <w:t xml:space="preserve"> and ‘Facial template’.</w:t>
      </w:r>
      <w:r>
        <w:rPr>
          <w:rStyle w:val="Refdenotaalpie"/>
          <w:shd w:val="clear" w:color="auto" w:fill="FFFFFF"/>
        </w:rPr>
        <w:footnoteReference w:id="48"/>
      </w:r>
      <w:r w:rsidRPr="00B4268A">
        <w:rPr>
          <w:shd w:val="clear" w:color="auto" w:fill="FFFFFF"/>
        </w:rPr>
        <w:t xml:space="preserve"> It </w:t>
      </w:r>
      <w:r w:rsidR="00E72FC1">
        <w:rPr>
          <w:shd w:val="clear" w:color="auto" w:fill="FFFFFF"/>
        </w:rPr>
        <w:t xml:space="preserve">also </w:t>
      </w:r>
      <w:r w:rsidRPr="00B4268A">
        <w:rPr>
          <w:shd w:val="clear" w:color="auto" w:fill="FFFFFF"/>
        </w:rPr>
        <w:t>comprises definitions of each of the functions that, according to the definition, FRT systems can perform:</w:t>
      </w:r>
      <w:r w:rsidRPr="00C76C7E">
        <w:rPr>
          <w:lang w:eastAsia="es-ES"/>
        </w:rPr>
        <w:t xml:space="preserve"> </w:t>
      </w:r>
      <w:r w:rsidR="00076135" w:rsidRPr="00076135">
        <w:rPr>
          <w:shd w:val="clear" w:color="auto" w:fill="FFFFFF"/>
        </w:rPr>
        <w:lastRenderedPageBreak/>
        <w:t>‘Identification’,</w:t>
      </w:r>
      <w:r w:rsidR="00076135">
        <w:rPr>
          <w:rStyle w:val="Refdenotaalpie"/>
          <w:shd w:val="clear" w:color="auto" w:fill="FFFFFF"/>
        </w:rPr>
        <w:footnoteReference w:id="49"/>
      </w:r>
      <w:r w:rsidR="00076135" w:rsidRPr="00076135">
        <w:rPr>
          <w:shd w:val="clear" w:color="auto" w:fill="FFFFFF"/>
        </w:rPr>
        <w:t xml:space="preserve"> ‘Recognition’,</w:t>
      </w:r>
      <w:r w:rsidR="00076135">
        <w:rPr>
          <w:rStyle w:val="Refdenotaalpie"/>
          <w:shd w:val="clear" w:color="auto" w:fill="FFFFFF"/>
        </w:rPr>
        <w:footnoteReference w:id="50"/>
      </w:r>
      <w:r w:rsidR="00076135" w:rsidRPr="00076135">
        <w:rPr>
          <w:shd w:val="clear" w:color="auto" w:fill="FFFFFF"/>
        </w:rPr>
        <w:t xml:space="preserve"> and ‘Verification’</w:t>
      </w:r>
      <w:r w:rsidR="00076135">
        <w:rPr>
          <w:rStyle w:val="Refdenotaalpie"/>
          <w:shd w:val="clear" w:color="auto" w:fill="FFFFFF"/>
        </w:rPr>
        <w:footnoteReference w:id="51"/>
      </w:r>
      <w:r w:rsidR="00076135" w:rsidRPr="00076135">
        <w:rPr>
          <w:shd w:val="clear" w:color="auto" w:fill="FFFFFF"/>
        </w:rPr>
        <w:t>. Furthermore, in the line of</w:t>
      </w:r>
      <w:r w:rsidR="00076135">
        <w:rPr>
          <w:shd w:val="clear" w:color="auto" w:fill="FFFFFF"/>
        </w:rPr>
        <w:t xml:space="preserve"> o</w:t>
      </w:r>
      <w:r w:rsidR="00076135" w:rsidRPr="00076135">
        <w:rPr>
          <w:shd w:val="clear" w:color="auto" w:fill="FFFFFF"/>
        </w:rPr>
        <w:t>ther definitions, it includes the surrounding concepts ‘Ongoing surveillance’</w:t>
      </w:r>
      <w:r w:rsidR="00076135">
        <w:rPr>
          <w:rStyle w:val="Refdenotaalpie"/>
          <w:shd w:val="clear" w:color="auto" w:fill="FFFFFF"/>
        </w:rPr>
        <w:footnoteReference w:id="52"/>
      </w:r>
      <w:r w:rsidR="00076135" w:rsidRPr="00076135">
        <w:rPr>
          <w:shd w:val="clear" w:color="auto" w:fill="FFFFFF"/>
        </w:rPr>
        <w:t xml:space="preserve"> and ‘Persistent tracking’.</w:t>
      </w:r>
      <w:r w:rsidR="00076135">
        <w:rPr>
          <w:rStyle w:val="Refdenotaalpie"/>
          <w:shd w:val="clear" w:color="auto" w:fill="FFFFFF"/>
        </w:rPr>
        <w:footnoteReference w:id="53"/>
      </w:r>
      <w:r w:rsidR="00076135" w:rsidRPr="00076135">
        <w:rPr>
          <w:shd w:val="clear" w:color="auto" w:fill="FFFFFF"/>
        </w:rPr>
        <w:t xml:space="preserve"> Finally, and for the first time, some terms regarding </w:t>
      </w:r>
      <w:r w:rsidR="00076135">
        <w:rPr>
          <w:shd w:val="clear" w:color="auto" w:fill="FFFFFF"/>
        </w:rPr>
        <w:t>accountability questions are included: ‘Accountability report’</w:t>
      </w:r>
      <w:r w:rsidR="00076135">
        <w:rPr>
          <w:rStyle w:val="Refdenotaalpie"/>
          <w:shd w:val="clear" w:color="auto" w:fill="FFFFFF"/>
        </w:rPr>
        <w:footnoteReference w:id="54"/>
      </w:r>
      <w:r w:rsidR="00076135">
        <w:rPr>
          <w:shd w:val="clear" w:color="auto" w:fill="FFFFFF"/>
        </w:rPr>
        <w:t xml:space="preserve"> and ‘Meaningful human review’.</w:t>
      </w:r>
      <w:r w:rsidR="00076135">
        <w:rPr>
          <w:rStyle w:val="Refdenotaalpie"/>
          <w:shd w:val="clear" w:color="auto" w:fill="FFFFFF"/>
        </w:rPr>
        <w:footnoteReference w:id="55"/>
      </w:r>
      <w:r w:rsidR="00076135">
        <w:rPr>
          <w:shd w:val="clear" w:color="auto" w:fill="FFFFFF"/>
        </w:rPr>
        <w:t xml:space="preserve"> This definition again analyses FRT from the functionality point of view. However, it includes a role never pointed out before being ‘Persistent tracking’. Moreover, the regulation only contemplates FRT as a tool utilized by public stakeholders.</w:t>
      </w:r>
    </w:p>
    <w:p w14:paraId="370A3FCB" w14:textId="77777777" w:rsidR="00076135" w:rsidRDefault="00076135" w:rsidP="00076135">
      <w:pPr>
        <w:autoSpaceDE w:val="0"/>
        <w:autoSpaceDN w:val="0"/>
        <w:adjustRightInd w:val="0"/>
        <w:spacing w:line="360" w:lineRule="auto"/>
        <w:jc w:val="both"/>
        <w:rPr>
          <w:shd w:val="clear" w:color="auto" w:fill="FFFFFF"/>
        </w:rPr>
      </w:pPr>
      <w:r>
        <w:rPr>
          <w:shd w:val="clear" w:color="auto" w:fill="FFFFFF"/>
        </w:rPr>
        <w:t>Some federal regulations have also dealt with FRT:</w:t>
      </w:r>
    </w:p>
    <w:p w14:paraId="1F3E14F5" w14:textId="77777777" w:rsidR="00076135" w:rsidRDefault="00076135" w:rsidP="00076135">
      <w:pPr>
        <w:pStyle w:val="Prrafodelista"/>
        <w:numPr>
          <w:ilvl w:val="0"/>
          <w:numId w:val="13"/>
        </w:numPr>
        <w:spacing w:after="160" w:line="360" w:lineRule="auto"/>
        <w:jc w:val="both"/>
        <w:rPr>
          <w:i/>
        </w:rPr>
      </w:pPr>
      <w:r>
        <w:rPr>
          <w:i/>
        </w:rPr>
        <w:t>Facial Analysis, Comparison, and Evaluation Protection Act of 2019</w:t>
      </w:r>
      <w:r>
        <w:t xml:space="preserve"> or </w:t>
      </w:r>
      <w:r>
        <w:rPr>
          <w:i/>
        </w:rPr>
        <w:t xml:space="preserve">FACE Protection Act of 2019 </w:t>
      </w:r>
      <w:r w:rsidRPr="00F1200D">
        <w:rPr>
          <w:highlight w:val="yellow"/>
        </w:rPr>
        <w:t>(</w:t>
      </w:r>
      <w:r>
        <w:rPr>
          <w:i/>
        </w:rPr>
        <w:t>Bill</w:t>
      </w:r>
      <w:r>
        <w:t xml:space="preserve"> </w:t>
      </w:r>
      <w:r>
        <w:rPr>
          <w:i/>
        </w:rPr>
        <w:t xml:space="preserve">H.R. 4021, 2019. To prohibit a Federal agency from using a facial recognition technology without a Federal court order, and for other </w:t>
      </w:r>
      <w:r>
        <w:rPr>
          <w:i/>
        </w:rPr>
        <w:lastRenderedPageBreak/>
        <w:t>purposes</w:t>
      </w:r>
      <w:r>
        <w:t>)</w:t>
      </w:r>
      <w:r>
        <w:rPr>
          <w:i/>
        </w:rPr>
        <w:t xml:space="preserve">. </w:t>
      </w:r>
      <w:r>
        <w:t xml:space="preserve">We can find the definition of ‘Facial Recognition’ in its Section 2.c.1: ‘The term ‘‘facial recognition’’ means an automated or semi-automated process that assists in identifying or verifying an individual based on the physical characteristics of an individual’s face geometry’. It also defines FRT in Section 2.c.2 as ‘any computer software or application that performs facial recognition’. This definition is partially based on previous ones. It adds the ‘verification’ component that was omitted previously, and the parameters used by the system according to the definition are ‘the physical characteristics of an individual’s face geometry’ as opposed to ‘biometric data’. According to this definition, all information such as the ‘texture’ of a face image will not be FRT. Apart from that, the definition does not contemplate categorisation as an operation that is performed by FRT. </w:t>
      </w:r>
    </w:p>
    <w:p w14:paraId="4CA8719C" w14:textId="05C9CE12" w:rsidR="003D556C" w:rsidRDefault="003D556C" w:rsidP="003D556C">
      <w:pPr>
        <w:pStyle w:val="Prrafodelista"/>
        <w:numPr>
          <w:ilvl w:val="0"/>
          <w:numId w:val="13"/>
        </w:numPr>
        <w:spacing w:line="360" w:lineRule="auto"/>
        <w:jc w:val="both"/>
      </w:pPr>
      <w:r w:rsidRPr="003D556C">
        <w:rPr>
          <w:shd w:val="clear" w:color="auto" w:fill="FFFFFF"/>
        </w:rPr>
        <w:t xml:space="preserve">The case </w:t>
      </w:r>
      <w:r w:rsidRPr="003D556C">
        <w:rPr>
          <w:i/>
          <w:shd w:val="clear" w:color="auto" w:fill="FFFFFF"/>
        </w:rPr>
        <w:t>Patel v. Facebook</w:t>
      </w:r>
      <w:r>
        <w:rPr>
          <w:rStyle w:val="Refdenotaalpie"/>
          <w:i/>
          <w:shd w:val="clear" w:color="auto" w:fill="FFFFFF"/>
        </w:rPr>
        <w:footnoteReference w:id="56"/>
      </w:r>
      <w:r w:rsidRPr="003D556C">
        <w:rPr>
          <w:shd w:val="clear" w:color="auto" w:fill="FFFFFF"/>
        </w:rPr>
        <w:t xml:space="preserve"> is, up to this moment, the most significant case related to FRT </w:t>
      </w:r>
      <w:r>
        <w:rPr>
          <w:shd w:val="clear" w:color="auto" w:fill="FFFFFF"/>
        </w:rPr>
        <w:t>with</w:t>
      </w:r>
      <w:r w:rsidRPr="003D556C">
        <w:rPr>
          <w:shd w:val="clear" w:color="auto" w:fill="FFFFFF"/>
        </w:rPr>
        <w:t xml:space="preserve">in the U.S. This case studies whether </w:t>
      </w:r>
      <w:r>
        <w:t>‘the collection of an individual's biometric data in violation of the Illinois Biometric Information Privacy Act is sufficient to establish Article III standing’.</w:t>
      </w:r>
      <w:r>
        <w:rPr>
          <w:vertAlign w:val="superscript"/>
        </w:rPr>
        <w:footnoteReference w:id="57"/>
      </w:r>
      <w:r>
        <w:t xml:space="preserve"> However, Facebook has recently settled in.</w:t>
      </w:r>
      <w:r>
        <w:rPr>
          <w:rStyle w:val="Refdenotaalpie"/>
        </w:rPr>
        <w:footnoteReference w:id="58"/>
      </w:r>
      <w:r>
        <w:t xml:space="preserve"> Consequently, FRT and the legal challenges associated were not sufficiently addressed although the final decision stated that ‘Taking into account the future development of such technology as suggested in Carpenter, […], it seems likely that a face-mapped individual could be identified from a surveillance photo taken on the streets or in an office building.  […]  We conclude that the development of a face template using facial-recognition technology without consent (as alleged here) invades an individual’s private affairs and concrete interests.’</w:t>
      </w:r>
    </w:p>
    <w:p w14:paraId="751B5020" w14:textId="54E88034" w:rsidR="003D556C" w:rsidRDefault="003D556C" w:rsidP="003D556C">
      <w:pPr>
        <w:spacing w:line="360" w:lineRule="auto"/>
        <w:jc w:val="both"/>
      </w:pPr>
      <w:r>
        <w:t>To sum up, most definitions of ‘Facial Recognition’ or FRT have a strong common core but there are slight differences between one regulation and the other. Moreover, following the definitions by A29WP and the judicial decision by Cardiff’s Court, most of these regulations also clarify some concepts surrounding FRT.</w:t>
      </w:r>
      <w:r w:rsidR="00560152">
        <w:t xml:space="preserve"> The best and most complete definitions include a ‘phases list’ and surrounding terms.</w:t>
      </w:r>
      <w:r w:rsidR="003B6362">
        <w:t xml:space="preserve"> The definition </w:t>
      </w:r>
      <w:r w:rsidR="001430C1">
        <w:t xml:space="preserve">in </w:t>
      </w:r>
      <w:r w:rsidR="003B6362">
        <w:t xml:space="preserve">the </w:t>
      </w:r>
      <w:r w:rsidR="001430C1">
        <w:t xml:space="preserve">Washington State </w:t>
      </w:r>
      <w:r w:rsidR="003B6362">
        <w:t xml:space="preserve">Engrossed Substitute Senate Bill 6280 is the most complete and </w:t>
      </w:r>
      <w:r w:rsidR="003B6362">
        <w:lastRenderedPageBreak/>
        <w:t>detailed. This circumstance might be easily based on the fact that this instrument is specifically aimed at FRT whereas the rest of the legislation analysed is more general.</w:t>
      </w:r>
    </w:p>
    <w:p w14:paraId="33DDCF64" w14:textId="768B4120" w:rsidR="003D556C" w:rsidRDefault="003D556C" w:rsidP="003D556C">
      <w:pPr>
        <w:spacing w:line="360" w:lineRule="auto"/>
        <w:jc w:val="both"/>
      </w:pPr>
      <w:r>
        <w:t xml:space="preserve">In </w:t>
      </w:r>
      <w:r w:rsidR="00C44B1F">
        <w:t>summary</w:t>
      </w:r>
      <w:r>
        <w:t>, a much broader legal framework within the U.S. legal system compared with the European can be appreciated. The absence of unified criteria in both legal systems might end up being problematic as which could be facial recognition for a legal system could not under the another. On the same line, the functions performed by FRT differ between definitions. At this respect, the definition at the Engrossed Substitute Senate Bill 6280 includes a range of surrounding terms (such as accountability report, or meaningful human review) regarding the accountability challenges that will be posed in the following section.</w:t>
      </w:r>
      <w:r w:rsidR="00663EA9">
        <w:t xml:space="preserve"> xx</w:t>
      </w:r>
    </w:p>
    <w:p w14:paraId="7FD7E058" w14:textId="23910EFE" w:rsidR="003D556C" w:rsidRPr="005F3512" w:rsidRDefault="003D556C" w:rsidP="005F3512">
      <w:pPr>
        <w:pStyle w:val="Ttulo3"/>
      </w:pPr>
      <w:r w:rsidRPr="005F3512">
        <w:t>Legal challenges regarding the principle of accountability</w:t>
      </w:r>
    </w:p>
    <w:p w14:paraId="189F3871" w14:textId="067B91FD" w:rsidR="00E53429" w:rsidRDefault="003D556C" w:rsidP="00E53429">
      <w:pPr>
        <w:pStyle w:val="Textoindependiente"/>
        <w:spacing w:before="160" w:line="360" w:lineRule="auto"/>
        <w:ind w:right="117"/>
        <w:jc w:val="both"/>
      </w:pPr>
      <w:r>
        <w:t xml:space="preserve">Accountability </w:t>
      </w:r>
      <w:r w:rsidR="00C2240F">
        <w:t xml:space="preserve">in public and private governance </w:t>
      </w:r>
      <w:r>
        <w:t xml:space="preserve">is </w:t>
      </w:r>
      <w:r w:rsidR="00601C6C">
        <w:t xml:space="preserve">a </w:t>
      </w:r>
      <w:r w:rsidR="00C2240F">
        <w:t>significant factor</w:t>
      </w:r>
      <w:r>
        <w:t xml:space="preserve">. </w:t>
      </w:r>
      <w:r w:rsidR="00B732E2">
        <w:t>However, it ‘is</w:t>
      </w:r>
      <w:r w:rsidR="00B732E2">
        <w:rPr>
          <w:spacing w:val="-8"/>
        </w:rPr>
        <w:t xml:space="preserve"> </w:t>
      </w:r>
      <w:r w:rsidR="00B732E2">
        <w:t>a</w:t>
      </w:r>
      <w:r w:rsidR="00B732E2">
        <w:rPr>
          <w:spacing w:val="-10"/>
        </w:rPr>
        <w:t xml:space="preserve"> </w:t>
      </w:r>
      <w:r w:rsidR="00B732E2">
        <w:t>broad</w:t>
      </w:r>
      <w:r w:rsidR="00B732E2">
        <w:rPr>
          <w:spacing w:val="-9"/>
        </w:rPr>
        <w:t xml:space="preserve"> </w:t>
      </w:r>
      <w:r w:rsidR="00B732E2">
        <w:t>term</w:t>
      </w:r>
      <w:r w:rsidR="00B732E2">
        <w:rPr>
          <w:spacing w:val="-8"/>
        </w:rPr>
        <w:t xml:space="preserve"> </w:t>
      </w:r>
      <w:r w:rsidR="00B732E2">
        <w:t>that</w:t>
      </w:r>
      <w:r w:rsidR="00B732E2">
        <w:rPr>
          <w:spacing w:val="-9"/>
        </w:rPr>
        <w:t xml:space="preserve"> </w:t>
      </w:r>
      <w:r w:rsidR="00B732E2">
        <w:t>reflects</w:t>
      </w:r>
      <w:r w:rsidR="00B732E2">
        <w:rPr>
          <w:spacing w:val="-8"/>
        </w:rPr>
        <w:t xml:space="preserve"> </w:t>
      </w:r>
      <w:r w:rsidR="00B732E2">
        <w:t>a</w:t>
      </w:r>
      <w:r w:rsidR="00B732E2">
        <w:rPr>
          <w:spacing w:val="-10"/>
        </w:rPr>
        <w:t xml:space="preserve"> </w:t>
      </w:r>
      <w:r w:rsidR="00B732E2">
        <w:t>range</w:t>
      </w:r>
      <w:r w:rsidR="00B732E2">
        <w:rPr>
          <w:spacing w:val="-10"/>
        </w:rPr>
        <w:t xml:space="preserve"> </w:t>
      </w:r>
      <w:r w:rsidR="00B732E2">
        <w:t>of</w:t>
      </w:r>
      <w:r w:rsidR="00B732E2">
        <w:rPr>
          <w:spacing w:val="-9"/>
        </w:rPr>
        <w:t xml:space="preserve"> </w:t>
      </w:r>
      <w:r w:rsidR="00B732E2">
        <w:t>understandings</w:t>
      </w:r>
      <w:r w:rsidR="00B732E2">
        <w:rPr>
          <w:spacing w:val="-8"/>
        </w:rPr>
        <w:t xml:space="preserve"> </w:t>
      </w:r>
      <w:r w:rsidR="00B732E2">
        <w:t>rather</w:t>
      </w:r>
      <w:r w:rsidR="00B732E2">
        <w:rPr>
          <w:spacing w:val="-9"/>
        </w:rPr>
        <w:t xml:space="preserve"> </w:t>
      </w:r>
      <w:r w:rsidR="00B732E2">
        <w:t>than</w:t>
      </w:r>
      <w:r w:rsidR="00B732E2">
        <w:rPr>
          <w:spacing w:val="-9"/>
        </w:rPr>
        <w:t xml:space="preserve"> </w:t>
      </w:r>
      <w:r w:rsidR="00B732E2">
        <w:t>a</w:t>
      </w:r>
      <w:r w:rsidR="00B732E2">
        <w:rPr>
          <w:spacing w:val="-10"/>
        </w:rPr>
        <w:t xml:space="preserve"> </w:t>
      </w:r>
      <w:r w:rsidR="00B732E2">
        <w:t>single paradigm’. It goes beyond the narrow form of accountability consisting of the ‘responsibility-for-wrongfulness doctrine</w:t>
      </w:r>
      <w:r w:rsidR="00E72FC1">
        <w:t>’</w:t>
      </w:r>
      <w:r w:rsidR="00E72FC1" w:rsidRPr="00B732E2">
        <w:t xml:space="preserve"> (</w:t>
      </w:r>
      <w:r w:rsidR="00E53429" w:rsidRPr="00B732E2">
        <w:rPr>
          <w:color w:val="171717"/>
        </w:rPr>
        <w:t>Curtin and Nollkaemper 2005)</w:t>
      </w:r>
      <w:r w:rsidR="00B732E2">
        <w:t>. In this line, Mulgan has pointed out that its scope and meaning ‘extended in a number of</w:t>
      </w:r>
      <w:r w:rsidR="00B732E2">
        <w:rPr>
          <w:spacing w:val="-4"/>
        </w:rPr>
        <w:t xml:space="preserve"> </w:t>
      </w:r>
      <w:r w:rsidR="00B732E2">
        <w:t>directions’</w:t>
      </w:r>
      <w:r w:rsidR="00E53429">
        <w:t xml:space="preserve"> (Mulgan 2000)</w:t>
      </w:r>
      <w:r w:rsidR="00B732E2">
        <w:t>.</w:t>
      </w:r>
    </w:p>
    <w:p w14:paraId="1D997646" w14:textId="53D22AA8" w:rsidR="00E53429" w:rsidRDefault="00E53429" w:rsidP="00CF61A5">
      <w:pPr>
        <w:pStyle w:val="Textoindependiente"/>
        <w:spacing w:before="97" w:line="360" w:lineRule="auto"/>
        <w:ind w:right="118"/>
        <w:jc w:val="both"/>
      </w:pPr>
      <w:r>
        <w:t>Accountability involves a reciprocal partnership between the actor and what it has been called</w:t>
      </w:r>
      <w:r>
        <w:rPr>
          <w:spacing w:val="-4"/>
        </w:rPr>
        <w:t xml:space="preserve"> </w:t>
      </w:r>
      <w:r>
        <w:t>by</w:t>
      </w:r>
      <w:r>
        <w:rPr>
          <w:spacing w:val="-4"/>
        </w:rPr>
        <w:t xml:space="preserve"> </w:t>
      </w:r>
      <w:r>
        <w:t>a</w:t>
      </w:r>
      <w:r>
        <w:rPr>
          <w:spacing w:val="-3"/>
        </w:rPr>
        <w:t xml:space="preserve"> </w:t>
      </w:r>
      <w:r>
        <w:t>sector</w:t>
      </w:r>
      <w:r>
        <w:rPr>
          <w:spacing w:val="-2"/>
        </w:rPr>
        <w:t xml:space="preserve"> </w:t>
      </w:r>
      <w:r>
        <w:t>of</w:t>
      </w:r>
      <w:r>
        <w:rPr>
          <w:spacing w:val="-5"/>
        </w:rPr>
        <w:t xml:space="preserve"> </w:t>
      </w:r>
      <w:r>
        <w:t>the</w:t>
      </w:r>
      <w:r>
        <w:rPr>
          <w:spacing w:val="-4"/>
        </w:rPr>
        <w:t xml:space="preserve"> </w:t>
      </w:r>
      <w:r>
        <w:t>doctrine</w:t>
      </w:r>
      <w:r>
        <w:rPr>
          <w:spacing w:val="-5"/>
        </w:rPr>
        <w:t xml:space="preserve"> </w:t>
      </w:r>
      <w:r>
        <w:t>an</w:t>
      </w:r>
      <w:r>
        <w:rPr>
          <w:spacing w:val="-1"/>
        </w:rPr>
        <w:t xml:space="preserve"> </w:t>
      </w:r>
      <w:r>
        <w:t>‘accountability</w:t>
      </w:r>
      <w:r>
        <w:rPr>
          <w:spacing w:val="-3"/>
        </w:rPr>
        <w:t xml:space="preserve"> </w:t>
      </w:r>
      <w:r>
        <w:t xml:space="preserve">forum’ </w:t>
      </w:r>
      <w:r w:rsidRPr="00B732E2">
        <w:t>(</w:t>
      </w:r>
      <w:r w:rsidRPr="00B732E2">
        <w:rPr>
          <w:color w:val="171717"/>
        </w:rPr>
        <w:t>Curtin and Nollkaemper 2005)</w:t>
      </w:r>
      <w:r>
        <w:t>.</w:t>
      </w:r>
      <w:r>
        <w:rPr>
          <w:spacing w:val="-2"/>
        </w:rPr>
        <w:t xml:space="preserve"> </w:t>
      </w:r>
      <w:r>
        <w:t>It</w:t>
      </w:r>
      <w:r>
        <w:rPr>
          <w:spacing w:val="-2"/>
        </w:rPr>
        <w:t xml:space="preserve"> </w:t>
      </w:r>
      <w:r>
        <w:t>is</w:t>
      </w:r>
      <w:r>
        <w:rPr>
          <w:spacing w:val="-3"/>
        </w:rPr>
        <w:t xml:space="preserve"> </w:t>
      </w:r>
      <w:r>
        <w:t>also</w:t>
      </w:r>
      <w:r>
        <w:rPr>
          <w:spacing w:val="-1"/>
        </w:rPr>
        <w:t xml:space="preserve"> </w:t>
      </w:r>
      <w:r>
        <w:t>considered</w:t>
      </w:r>
      <w:r>
        <w:rPr>
          <w:spacing w:val="-4"/>
        </w:rPr>
        <w:t xml:space="preserve"> </w:t>
      </w:r>
      <w:r>
        <w:t>to</w:t>
      </w:r>
      <w:r>
        <w:rPr>
          <w:spacing w:val="-3"/>
        </w:rPr>
        <w:t xml:space="preserve"> </w:t>
      </w:r>
      <w:r>
        <w:t>be</w:t>
      </w:r>
      <w:r>
        <w:rPr>
          <w:spacing w:val="-2"/>
        </w:rPr>
        <w:t xml:space="preserve"> </w:t>
      </w:r>
      <w:r>
        <w:t>a retrospective procedure, in the sense that it may include providing an account of past actions. It consists of the establishment of a process through which render account. This process will be presided by certain criteria against which the performance will be assessed.</w:t>
      </w:r>
      <w:r>
        <w:rPr>
          <w:spacing w:val="-6"/>
        </w:rPr>
        <w:t xml:space="preserve"> </w:t>
      </w:r>
      <w:r>
        <w:t>During</w:t>
      </w:r>
      <w:r>
        <w:rPr>
          <w:spacing w:val="-7"/>
        </w:rPr>
        <w:t xml:space="preserve"> </w:t>
      </w:r>
      <w:r>
        <w:t>its</w:t>
      </w:r>
      <w:r>
        <w:rPr>
          <w:spacing w:val="-5"/>
        </w:rPr>
        <w:t xml:space="preserve"> </w:t>
      </w:r>
      <w:r>
        <w:t>performance,</w:t>
      </w:r>
      <w:r>
        <w:rPr>
          <w:spacing w:val="-6"/>
        </w:rPr>
        <w:t xml:space="preserve"> </w:t>
      </w:r>
      <w:r>
        <w:t>the</w:t>
      </w:r>
      <w:r>
        <w:rPr>
          <w:spacing w:val="-7"/>
        </w:rPr>
        <w:t xml:space="preserve"> </w:t>
      </w:r>
      <w:r>
        <w:t>actor</w:t>
      </w:r>
      <w:r>
        <w:rPr>
          <w:spacing w:val="-5"/>
        </w:rPr>
        <w:t xml:space="preserve"> </w:t>
      </w:r>
      <w:r>
        <w:t>describes</w:t>
      </w:r>
      <w:r>
        <w:rPr>
          <w:spacing w:val="-6"/>
        </w:rPr>
        <w:t xml:space="preserve"> </w:t>
      </w:r>
      <w:r>
        <w:t>its</w:t>
      </w:r>
      <w:r>
        <w:rPr>
          <w:spacing w:val="-6"/>
        </w:rPr>
        <w:t xml:space="preserve"> </w:t>
      </w:r>
      <w:r>
        <w:t>actions</w:t>
      </w:r>
      <w:r>
        <w:rPr>
          <w:spacing w:val="-5"/>
        </w:rPr>
        <w:t xml:space="preserve"> </w:t>
      </w:r>
      <w:r>
        <w:t>and</w:t>
      </w:r>
      <w:r>
        <w:rPr>
          <w:spacing w:val="-6"/>
        </w:rPr>
        <w:t xml:space="preserve"> </w:t>
      </w:r>
      <w:r>
        <w:t>presents</w:t>
      </w:r>
      <w:r>
        <w:rPr>
          <w:spacing w:val="-6"/>
        </w:rPr>
        <w:t xml:space="preserve"> </w:t>
      </w:r>
      <w:r>
        <w:t>information to</w:t>
      </w:r>
      <w:r>
        <w:rPr>
          <w:spacing w:val="-8"/>
        </w:rPr>
        <w:t xml:space="preserve"> </w:t>
      </w:r>
      <w:r>
        <w:t xml:space="preserve">others </w:t>
      </w:r>
      <w:r w:rsidRPr="00E53429">
        <w:t>(</w:t>
      </w:r>
      <w:r w:rsidRPr="00E53429">
        <w:rPr>
          <w:color w:val="212121"/>
        </w:rPr>
        <w:t>Bovens 2007)</w:t>
      </w:r>
      <w:r w:rsidRPr="00E53429">
        <w:t>.</w:t>
      </w:r>
      <w:r>
        <w:rPr>
          <w:spacing w:val="-7"/>
        </w:rPr>
        <w:t xml:space="preserve"> </w:t>
      </w:r>
      <w:r>
        <w:t>As</w:t>
      </w:r>
      <w:r>
        <w:rPr>
          <w:spacing w:val="-9"/>
        </w:rPr>
        <w:t xml:space="preserve"> </w:t>
      </w:r>
      <w:r>
        <w:t>stated</w:t>
      </w:r>
      <w:r>
        <w:rPr>
          <w:spacing w:val="-9"/>
        </w:rPr>
        <w:t xml:space="preserve"> </w:t>
      </w:r>
      <w:r>
        <w:t>by</w:t>
      </w:r>
      <w:r>
        <w:rPr>
          <w:spacing w:val="-7"/>
        </w:rPr>
        <w:t xml:space="preserve"> </w:t>
      </w:r>
      <w:r>
        <w:t>Gardner,</w:t>
      </w:r>
      <w:r>
        <w:rPr>
          <w:spacing w:val="-6"/>
        </w:rPr>
        <w:t xml:space="preserve"> </w:t>
      </w:r>
      <w:r>
        <w:t>‘An</w:t>
      </w:r>
      <w:r>
        <w:rPr>
          <w:spacing w:val="-6"/>
        </w:rPr>
        <w:t xml:space="preserve"> </w:t>
      </w:r>
      <w:r>
        <w:t>actor</w:t>
      </w:r>
      <w:r>
        <w:rPr>
          <w:spacing w:val="-7"/>
        </w:rPr>
        <w:t xml:space="preserve"> </w:t>
      </w:r>
      <w:r>
        <w:t>is</w:t>
      </w:r>
      <w:r>
        <w:rPr>
          <w:spacing w:val="-8"/>
        </w:rPr>
        <w:t xml:space="preserve"> </w:t>
      </w:r>
      <w:r>
        <w:t>accountable</w:t>
      </w:r>
      <w:r>
        <w:rPr>
          <w:spacing w:val="-10"/>
        </w:rPr>
        <w:t xml:space="preserve"> </w:t>
      </w:r>
      <w:r>
        <w:t>to</w:t>
      </w:r>
      <w:r>
        <w:rPr>
          <w:spacing w:val="-8"/>
        </w:rPr>
        <w:t xml:space="preserve"> </w:t>
      </w:r>
      <w:r>
        <w:t>some</w:t>
      </w:r>
      <w:r>
        <w:rPr>
          <w:spacing w:val="-8"/>
        </w:rPr>
        <w:t xml:space="preserve"> </w:t>
      </w:r>
      <w:r>
        <w:t>other</w:t>
      </w:r>
      <w:r>
        <w:rPr>
          <w:spacing w:val="-9"/>
        </w:rPr>
        <w:t xml:space="preserve"> </w:t>
      </w:r>
      <w:r>
        <w:t>person</w:t>
      </w:r>
      <w:r>
        <w:rPr>
          <w:spacing w:val="-9"/>
        </w:rPr>
        <w:t xml:space="preserve"> </w:t>
      </w:r>
      <w:r>
        <w:t>or</w:t>
      </w:r>
      <w:r>
        <w:rPr>
          <w:spacing w:val="-7"/>
        </w:rPr>
        <w:t xml:space="preserve"> </w:t>
      </w:r>
      <w:r>
        <w:t xml:space="preserve">entity, not in the abstract or in </w:t>
      </w:r>
      <w:r w:rsidRPr="00E53429">
        <w:t>isolation’ (</w:t>
      </w:r>
      <w:r w:rsidRPr="00E53429">
        <w:rPr>
          <w:color w:val="333333"/>
        </w:rPr>
        <w:t>Gardner 2003)</w:t>
      </w:r>
      <w:r w:rsidRPr="00E53429">
        <w:t>.</w:t>
      </w:r>
      <w:r>
        <w:t xml:space="preserve"> This implies the existence of a sort of ‘authority’ to whom</w:t>
      </w:r>
      <w:r>
        <w:rPr>
          <w:spacing w:val="-9"/>
        </w:rPr>
        <w:t xml:space="preserve"> </w:t>
      </w:r>
      <w:r>
        <w:t>render</w:t>
      </w:r>
      <w:r>
        <w:rPr>
          <w:spacing w:val="-9"/>
        </w:rPr>
        <w:t xml:space="preserve"> </w:t>
      </w:r>
      <w:r>
        <w:t>account,</w:t>
      </w:r>
      <w:r>
        <w:rPr>
          <w:spacing w:val="-8"/>
        </w:rPr>
        <w:t xml:space="preserve"> </w:t>
      </w:r>
      <w:r>
        <w:t>whether</w:t>
      </w:r>
      <w:r>
        <w:rPr>
          <w:spacing w:val="-10"/>
        </w:rPr>
        <w:t xml:space="preserve"> </w:t>
      </w:r>
      <w:r>
        <w:t>individuals,</w:t>
      </w:r>
      <w:r>
        <w:rPr>
          <w:spacing w:val="-8"/>
        </w:rPr>
        <w:t xml:space="preserve"> </w:t>
      </w:r>
      <w:r>
        <w:t>public</w:t>
      </w:r>
      <w:r>
        <w:rPr>
          <w:spacing w:val="-10"/>
        </w:rPr>
        <w:t xml:space="preserve"> </w:t>
      </w:r>
      <w:r>
        <w:t>or</w:t>
      </w:r>
      <w:r>
        <w:rPr>
          <w:spacing w:val="-9"/>
        </w:rPr>
        <w:t xml:space="preserve"> </w:t>
      </w:r>
      <w:r>
        <w:t>private</w:t>
      </w:r>
      <w:r>
        <w:rPr>
          <w:spacing w:val="-9"/>
        </w:rPr>
        <w:t xml:space="preserve"> </w:t>
      </w:r>
      <w:r>
        <w:t>entities.</w:t>
      </w:r>
      <w:r>
        <w:rPr>
          <w:spacing w:val="-8"/>
        </w:rPr>
        <w:t xml:space="preserve"> </w:t>
      </w:r>
      <w:r>
        <w:t>Lastly,</w:t>
      </w:r>
      <w:r>
        <w:rPr>
          <w:spacing w:val="-9"/>
        </w:rPr>
        <w:t xml:space="preserve"> </w:t>
      </w:r>
      <w:r>
        <w:t>there</w:t>
      </w:r>
      <w:r>
        <w:rPr>
          <w:spacing w:val="-10"/>
        </w:rPr>
        <w:t xml:space="preserve"> </w:t>
      </w:r>
      <w:r>
        <w:t>will</w:t>
      </w:r>
      <w:r>
        <w:rPr>
          <w:spacing w:val="-8"/>
        </w:rPr>
        <w:t xml:space="preserve"> </w:t>
      </w:r>
      <w:r>
        <w:t>be a potential application of penalties (formal or informal) in case the performer failed to live up to the relevant</w:t>
      </w:r>
      <w:r>
        <w:rPr>
          <w:spacing w:val="-3"/>
        </w:rPr>
        <w:t xml:space="preserve"> </w:t>
      </w:r>
      <w:r w:rsidRPr="00E53429">
        <w:t>requirements (</w:t>
      </w:r>
      <w:r w:rsidRPr="00E53429">
        <w:rPr>
          <w:color w:val="212121"/>
        </w:rPr>
        <w:t>Grant and Keohane 2005)</w:t>
      </w:r>
      <w:r w:rsidRPr="00E53429">
        <w:t>.</w:t>
      </w:r>
    </w:p>
    <w:p w14:paraId="6C350130" w14:textId="1E1FEB14" w:rsidR="00CF61A5" w:rsidRDefault="00CF61A5" w:rsidP="00CF61A5">
      <w:pPr>
        <w:pStyle w:val="Textoindependiente"/>
        <w:spacing w:before="161" w:line="360" w:lineRule="auto"/>
        <w:ind w:right="114"/>
        <w:jc w:val="both"/>
      </w:pPr>
      <w:r>
        <w:t>As described in the abovementioned literature, accountability entails different elements. Firstly,</w:t>
      </w:r>
      <w:r>
        <w:rPr>
          <w:spacing w:val="-7"/>
        </w:rPr>
        <w:t xml:space="preserve"> </w:t>
      </w:r>
      <w:r>
        <w:t>the</w:t>
      </w:r>
      <w:r>
        <w:rPr>
          <w:spacing w:val="-8"/>
        </w:rPr>
        <w:t xml:space="preserve"> </w:t>
      </w:r>
      <w:r>
        <w:t>‘accountable</w:t>
      </w:r>
      <w:r>
        <w:rPr>
          <w:spacing w:val="-5"/>
        </w:rPr>
        <w:t xml:space="preserve"> </w:t>
      </w:r>
      <w:r>
        <w:t>subject’</w:t>
      </w:r>
      <w:r>
        <w:rPr>
          <w:spacing w:val="-7"/>
        </w:rPr>
        <w:t xml:space="preserve"> </w:t>
      </w:r>
      <w:r>
        <w:t>is</w:t>
      </w:r>
      <w:r>
        <w:rPr>
          <w:spacing w:val="-5"/>
        </w:rPr>
        <w:t xml:space="preserve"> </w:t>
      </w:r>
      <w:r>
        <w:t>the</w:t>
      </w:r>
      <w:r>
        <w:rPr>
          <w:spacing w:val="-8"/>
        </w:rPr>
        <w:t xml:space="preserve"> </w:t>
      </w:r>
      <w:r>
        <w:t>one</w:t>
      </w:r>
      <w:r>
        <w:rPr>
          <w:spacing w:val="-7"/>
        </w:rPr>
        <w:t xml:space="preserve"> </w:t>
      </w:r>
      <w:r>
        <w:t>that</w:t>
      </w:r>
      <w:r>
        <w:rPr>
          <w:spacing w:val="-7"/>
        </w:rPr>
        <w:t xml:space="preserve"> </w:t>
      </w:r>
      <w:r>
        <w:t>holds</w:t>
      </w:r>
      <w:r>
        <w:rPr>
          <w:spacing w:val="-5"/>
        </w:rPr>
        <w:t xml:space="preserve"> </w:t>
      </w:r>
      <w:r>
        <w:t>accountability</w:t>
      </w:r>
      <w:r>
        <w:rPr>
          <w:spacing w:val="-7"/>
        </w:rPr>
        <w:t xml:space="preserve"> </w:t>
      </w:r>
      <w:r>
        <w:t>for</w:t>
      </w:r>
      <w:r>
        <w:rPr>
          <w:spacing w:val="-8"/>
        </w:rPr>
        <w:t xml:space="preserve"> </w:t>
      </w:r>
      <w:r>
        <w:t>its</w:t>
      </w:r>
      <w:r>
        <w:rPr>
          <w:spacing w:val="-9"/>
        </w:rPr>
        <w:t xml:space="preserve"> </w:t>
      </w:r>
      <w:r>
        <w:t>actions.</w:t>
      </w:r>
      <w:r>
        <w:rPr>
          <w:spacing w:val="-6"/>
        </w:rPr>
        <w:t xml:space="preserve"> </w:t>
      </w:r>
      <w:r>
        <w:t>In</w:t>
      </w:r>
      <w:r>
        <w:rPr>
          <w:spacing w:val="-7"/>
        </w:rPr>
        <w:t xml:space="preserve"> </w:t>
      </w:r>
      <w:r>
        <w:t xml:space="preserve">the specific case of FRT-AI, it is not clear who should be considered accountable for decisions taken by FRT-AI: is it the technology programmer? the public agency that </w:t>
      </w:r>
      <w:r>
        <w:lastRenderedPageBreak/>
        <w:t xml:space="preserve">acquires this technology? the selling company? Secondly, there is an ‘authority’ to whom the accountability is rendered </w:t>
      </w:r>
      <w:r w:rsidRPr="00E53429">
        <w:t>(</w:t>
      </w:r>
      <w:r w:rsidRPr="00E53429">
        <w:rPr>
          <w:color w:val="333333"/>
        </w:rPr>
        <w:t>Gardner 2003)</w:t>
      </w:r>
      <w:r>
        <w:t>. This point has neither been clarified in the case of FRT-AI</w:t>
      </w:r>
      <w:r>
        <w:rPr>
          <w:spacing w:val="-8"/>
        </w:rPr>
        <w:t xml:space="preserve"> </w:t>
      </w:r>
      <w:r>
        <w:t>yet.</w:t>
      </w:r>
      <w:r>
        <w:rPr>
          <w:spacing w:val="-3"/>
        </w:rPr>
        <w:t xml:space="preserve"> </w:t>
      </w:r>
      <w:r>
        <w:t>The</w:t>
      </w:r>
      <w:r>
        <w:rPr>
          <w:spacing w:val="-6"/>
        </w:rPr>
        <w:t xml:space="preserve"> </w:t>
      </w:r>
      <w:r>
        <w:t>‘assessment</w:t>
      </w:r>
      <w:r>
        <w:rPr>
          <w:spacing w:val="-4"/>
        </w:rPr>
        <w:t xml:space="preserve"> </w:t>
      </w:r>
      <w:r>
        <w:t>criteria’</w:t>
      </w:r>
      <w:r>
        <w:rPr>
          <w:spacing w:val="-5"/>
        </w:rPr>
        <w:t xml:space="preserve"> </w:t>
      </w:r>
      <w:r>
        <w:t>posed</w:t>
      </w:r>
      <w:r>
        <w:rPr>
          <w:spacing w:val="-5"/>
        </w:rPr>
        <w:t xml:space="preserve"> </w:t>
      </w:r>
      <w:r>
        <w:t>by</w:t>
      </w:r>
      <w:r>
        <w:rPr>
          <w:spacing w:val="-4"/>
        </w:rPr>
        <w:t xml:space="preserve"> </w:t>
      </w:r>
      <w:r>
        <w:t>Gardner</w:t>
      </w:r>
      <w:r>
        <w:rPr>
          <w:spacing w:val="-2"/>
        </w:rPr>
        <w:t xml:space="preserve"> </w:t>
      </w:r>
      <w:r>
        <w:t>and</w:t>
      </w:r>
      <w:r>
        <w:rPr>
          <w:spacing w:val="-4"/>
        </w:rPr>
        <w:t xml:space="preserve"> </w:t>
      </w:r>
      <w:r>
        <w:t>the</w:t>
      </w:r>
      <w:r>
        <w:rPr>
          <w:spacing w:val="-4"/>
        </w:rPr>
        <w:t xml:space="preserve"> </w:t>
      </w:r>
      <w:r>
        <w:t>‘accountability</w:t>
      </w:r>
      <w:r>
        <w:rPr>
          <w:spacing w:val="-5"/>
        </w:rPr>
        <w:t xml:space="preserve"> </w:t>
      </w:r>
      <w:r>
        <w:t xml:space="preserve">process’ are neither unified enough in this case. Lastly, according to Grant, there also could be some consequences when the actor misses to comply with applicable principles. Up to this point, we do not have a fixed account of these consequences for </w:t>
      </w:r>
      <w:r w:rsidR="00D17793">
        <w:t xml:space="preserve">a </w:t>
      </w:r>
      <w:r>
        <w:t>decision taken by FRT-AI.</w:t>
      </w:r>
    </w:p>
    <w:p w14:paraId="447EA72B" w14:textId="684DC444" w:rsidR="00CF61A5" w:rsidRDefault="00CF61A5" w:rsidP="00CF61A5">
      <w:pPr>
        <w:pStyle w:val="Textoindependiente"/>
        <w:spacing w:before="161" w:line="360" w:lineRule="auto"/>
        <w:ind w:right="116"/>
        <w:jc w:val="both"/>
      </w:pPr>
      <w:r>
        <w:t>As situations like the COVID-19</w:t>
      </w:r>
      <w:r>
        <w:rPr>
          <w:spacing w:val="-5"/>
        </w:rPr>
        <w:t xml:space="preserve"> </w:t>
      </w:r>
      <w:r>
        <w:t>health</w:t>
      </w:r>
      <w:r>
        <w:rPr>
          <w:spacing w:val="-4"/>
        </w:rPr>
        <w:t xml:space="preserve"> </w:t>
      </w:r>
      <w:r>
        <w:t>emergency</w:t>
      </w:r>
      <w:r>
        <w:rPr>
          <w:spacing w:val="-4"/>
        </w:rPr>
        <w:t xml:space="preserve"> </w:t>
      </w:r>
      <w:r>
        <w:t>have</w:t>
      </w:r>
      <w:r>
        <w:rPr>
          <w:spacing w:val="-5"/>
        </w:rPr>
        <w:t xml:space="preserve"> </w:t>
      </w:r>
      <w:r>
        <w:t>put</w:t>
      </w:r>
      <w:r>
        <w:rPr>
          <w:spacing w:val="-4"/>
        </w:rPr>
        <w:t xml:space="preserve"> </w:t>
      </w:r>
      <w:r>
        <w:t>in</w:t>
      </w:r>
      <w:r>
        <w:rPr>
          <w:spacing w:val="-3"/>
        </w:rPr>
        <w:t xml:space="preserve"> </w:t>
      </w:r>
      <w:r>
        <w:t>light,</w:t>
      </w:r>
      <w:r>
        <w:rPr>
          <w:spacing w:val="-3"/>
        </w:rPr>
        <w:t xml:space="preserve"> </w:t>
      </w:r>
      <w:r>
        <w:t>the</w:t>
      </w:r>
      <w:r>
        <w:rPr>
          <w:spacing w:val="-5"/>
        </w:rPr>
        <w:t xml:space="preserve"> </w:t>
      </w:r>
      <w:r>
        <w:t>deployment</w:t>
      </w:r>
      <w:r>
        <w:rPr>
          <w:spacing w:val="-4"/>
        </w:rPr>
        <w:t xml:space="preserve"> </w:t>
      </w:r>
      <w:r>
        <w:t>of</w:t>
      </w:r>
      <w:r>
        <w:rPr>
          <w:spacing w:val="-5"/>
        </w:rPr>
        <w:t xml:space="preserve"> </w:t>
      </w:r>
      <w:r>
        <w:t>FRT-AI</w:t>
      </w:r>
      <w:r>
        <w:rPr>
          <w:spacing w:val="-5"/>
        </w:rPr>
        <w:t xml:space="preserve"> </w:t>
      </w:r>
      <w:r>
        <w:t>can</w:t>
      </w:r>
      <w:r>
        <w:rPr>
          <w:spacing w:val="-4"/>
        </w:rPr>
        <w:t xml:space="preserve"> </w:t>
      </w:r>
      <w:r>
        <w:t>happen</w:t>
      </w:r>
      <w:r>
        <w:rPr>
          <w:spacing w:val="-4"/>
        </w:rPr>
        <w:t xml:space="preserve"> </w:t>
      </w:r>
      <w:r>
        <w:t xml:space="preserve">at a remarkable speed in a lot of different areas where fundamental </w:t>
      </w:r>
      <w:r w:rsidR="00E72FC1">
        <w:t xml:space="preserve">rights </w:t>
      </w:r>
      <w:r>
        <w:t>are seriously affected, maybe</w:t>
      </w:r>
      <w:r>
        <w:rPr>
          <w:spacing w:val="-10"/>
        </w:rPr>
        <w:t xml:space="preserve"> </w:t>
      </w:r>
      <w:r>
        <w:t>without</w:t>
      </w:r>
      <w:r>
        <w:rPr>
          <w:spacing w:val="-7"/>
        </w:rPr>
        <w:t xml:space="preserve"> </w:t>
      </w:r>
      <w:r>
        <w:t>a</w:t>
      </w:r>
      <w:r>
        <w:rPr>
          <w:spacing w:val="-10"/>
        </w:rPr>
        <w:t xml:space="preserve"> </w:t>
      </w:r>
      <w:r>
        <w:t>proper</w:t>
      </w:r>
      <w:r>
        <w:rPr>
          <w:spacing w:val="-6"/>
        </w:rPr>
        <w:t xml:space="preserve"> </w:t>
      </w:r>
      <w:r>
        <w:t>algorithmic</w:t>
      </w:r>
      <w:r>
        <w:rPr>
          <w:spacing w:val="-9"/>
        </w:rPr>
        <w:t xml:space="preserve"> </w:t>
      </w:r>
      <w:r>
        <w:t>accountability</w:t>
      </w:r>
      <w:r>
        <w:rPr>
          <w:spacing w:val="-8"/>
        </w:rPr>
        <w:t xml:space="preserve"> </w:t>
      </w:r>
      <w:r>
        <w:t>mechanism</w:t>
      </w:r>
      <w:r>
        <w:rPr>
          <w:spacing w:val="-7"/>
        </w:rPr>
        <w:t xml:space="preserve"> </w:t>
      </w:r>
      <w:r>
        <w:t>that</w:t>
      </w:r>
      <w:r>
        <w:rPr>
          <w:spacing w:val="-9"/>
        </w:rPr>
        <w:t xml:space="preserve"> </w:t>
      </w:r>
      <w:r>
        <w:t>ensures</w:t>
      </w:r>
      <w:r>
        <w:rPr>
          <w:spacing w:val="-7"/>
        </w:rPr>
        <w:t xml:space="preserve"> </w:t>
      </w:r>
      <w:r>
        <w:t>the</w:t>
      </w:r>
      <w:r>
        <w:rPr>
          <w:spacing w:val="-9"/>
        </w:rPr>
        <w:t xml:space="preserve"> </w:t>
      </w:r>
      <w:r>
        <w:t>necessary safeguards.</w:t>
      </w:r>
    </w:p>
    <w:p w14:paraId="17C68EFA" w14:textId="39553B40" w:rsidR="003D556C" w:rsidRDefault="003D556C" w:rsidP="003D556C">
      <w:pPr>
        <w:spacing w:line="360" w:lineRule="auto"/>
        <w:jc w:val="both"/>
      </w:pPr>
      <w:r>
        <w:rPr>
          <w:bCs/>
        </w:rPr>
        <w:t xml:space="preserve">If new computerized advances </w:t>
      </w:r>
      <w:r w:rsidR="00C2240F">
        <w:rPr>
          <w:bCs/>
        </w:rPr>
        <w:t xml:space="preserve">are incorporated, </w:t>
      </w:r>
      <w:r>
        <w:rPr>
          <w:bCs/>
        </w:rPr>
        <w:t xml:space="preserve">a generous measure of oversight </w:t>
      </w:r>
      <w:r w:rsidR="00C2240F">
        <w:rPr>
          <w:bCs/>
        </w:rPr>
        <w:t xml:space="preserve">should be held </w:t>
      </w:r>
      <w:r>
        <w:rPr>
          <w:bCs/>
        </w:rPr>
        <w:t xml:space="preserve">over its structure to leave the option to hold accountability. </w:t>
      </w:r>
      <w:r>
        <w:rPr>
          <w:shd w:val="clear" w:color="auto" w:fill="FFFFFF"/>
        </w:rPr>
        <w:t xml:space="preserve">One of the biggest legal challenges relates to discrimination in data-supported algorithmic FRT. This potential discrimination can occur when designing, </w:t>
      </w:r>
      <w:r w:rsidR="00E72FC1">
        <w:rPr>
          <w:shd w:val="clear" w:color="auto" w:fill="FFFFFF"/>
        </w:rPr>
        <w:t>testing,</w:t>
      </w:r>
      <w:r>
        <w:rPr>
          <w:shd w:val="clear" w:color="auto" w:fill="FFFFFF"/>
        </w:rPr>
        <w:t xml:space="preserve"> and executing FRT algorithms. </w:t>
      </w:r>
      <w:r>
        <w:t>Biases inserted (consciously or not) into the code and the dataset are the main sources of the discrimination</w:t>
      </w:r>
      <w:r w:rsidR="005F3512">
        <w:t xml:space="preserve"> (FRA 2018)</w:t>
      </w:r>
      <w:r>
        <w:t xml:space="preserve"> and this could originate responsibilities. However, nowadays, it is far from clear who should be held responsible for that.</w:t>
      </w:r>
    </w:p>
    <w:p w14:paraId="21442F52" w14:textId="77777777" w:rsidR="0086206C" w:rsidRDefault="0086206C" w:rsidP="002D4EA0">
      <w:pPr>
        <w:pStyle w:val="Prrafodelista"/>
        <w:spacing w:line="360" w:lineRule="auto"/>
        <w:ind w:left="1080" w:hanging="371"/>
        <w:jc w:val="both"/>
        <w:rPr>
          <w:i/>
        </w:rPr>
      </w:pPr>
    </w:p>
    <w:p w14:paraId="219C7D0B" w14:textId="263D85D6" w:rsidR="003D556C" w:rsidRPr="002D4EA0" w:rsidRDefault="003D556C" w:rsidP="002D4EA0">
      <w:pPr>
        <w:pStyle w:val="Prrafodelista"/>
        <w:spacing w:line="360" w:lineRule="auto"/>
        <w:ind w:left="1080" w:hanging="371"/>
        <w:jc w:val="both"/>
        <w:rPr>
          <w:i/>
        </w:rPr>
      </w:pPr>
      <w:r w:rsidRPr="002D4EA0">
        <w:rPr>
          <w:i/>
        </w:rPr>
        <w:t xml:space="preserve">Legal challenges regarding the principles of lawfulness, </w:t>
      </w:r>
      <w:r w:rsidR="00E72FC1" w:rsidRPr="002D4EA0">
        <w:rPr>
          <w:i/>
        </w:rPr>
        <w:t>fairness,</w:t>
      </w:r>
      <w:r w:rsidRPr="002D4EA0">
        <w:rPr>
          <w:i/>
        </w:rPr>
        <w:t xml:space="preserve"> and transparency</w:t>
      </w:r>
    </w:p>
    <w:p w14:paraId="0B75D31C" w14:textId="76EDBDDD" w:rsidR="003D556C" w:rsidRDefault="003D556C" w:rsidP="003D556C">
      <w:pPr>
        <w:spacing w:line="360" w:lineRule="auto"/>
        <w:jc w:val="both"/>
        <w:rPr>
          <w:rFonts w:asciiTheme="majorBidi" w:hAnsiTheme="majorBidi" w:cstheme="majorBidi"/>
        </w:rPr>
      </w:pPr>
      <w:r>
        <w:rPr>
          <w:rFonts w:asciiTheme="majorBidi" w:hAnsiTheme="majorBidi" w:cstheme="majorBidi"/>
        </w:rPr>
        <w:t xml:space="preserve">According to Article 5.2 GDPR, </w:t>
      </w:r>
      <w:r w:rsidR="00421B3B">
        <w:rPr>
          <w:rFonts w:asciiTheme="majorBidi" w:hAnsiTheme="majorBidi" w:cstheme="majorBidi"/>
        </w:rPr>
        <w:t xml:space="preserve">the accountability principle means </w:t>
      </w:r>
      <w:r>
        <w:rPr>
          <w:rFonts w:asciiTheme="majorBidi" w:hAnsiTheme="majorBidi" w:cstheme="majorBidi"/>
        </w:rPr>
        <w:t>the data controller shall be responsible and demonstrate compliance with the principles contemplated in Article 5.1.a</w:t>
      </w:r>
      <w:r w:rsidR="00E72FC1">
        <w:rPr>
          <w:rFonts w:asciiTheme="majorBidi" w:hAnsiTheme="majorBidi" w:cstheme="majorBidi"/>
        </w:rPr>
        <w:t xml:space="preserve"> GDPR</w:t>
      </w:r>
      <w:r>
        <w:rPr>
          <w:rFonts w:asciiTheme="majorBidi" w:hAnsiTheme="majorBidi" w:cstheme="majorBidi"/>
        </w:rPr>
        <w:t xml:space="preserve">. </w:t>
      </w:r>
    </w:p>
    <w:p w14:paraId="423090EB" w14:textId="3FDE2875" w:rsidR="003D556C" w:rsidRDefault="003D556C" w:rsidP="003D556C">
      <w:pPr>
        <w:spacing w:line="360" w:lineRule="auto"/>
        <w:jc w:val="both"/>
        <w:rPr>
          <w:shd w:val="clear" w:color="auto" w:fill="FFFFFF"/>
        </w:rPr>
      </w:pPr>
      <w:r>
        <w:t xml:space="preserve">The nature of the data used to develop algorithms is a major reason for discrimination. </w:t>
      </w:r>
      <w:r>
        <w:rPr>
          <w:shd w:val="clear" w:color="auto" w:fill="FFFFFF"/>
        </w:rPr>
        <w:t xml:space="preserve">To be successful and precise, FRT-AI software should be fed with plenty of facial images. Increasing the </w:t>
      </w:r>
      <w:r w:rsidR="002D4EA0">
        <w:rPr>
          <w:shd w:val="clear" w:color="auto" w:fill="FFFFFF"/>
        </w:rPr>
        <w:t>number</w:t>
      </w:r>
      <w:r>
        <w:rPr>
          <w:shd w:val="clear" w:color="auto" w:fill="FFFFFF"/>
        </w:rPr>
        <w:t xml:space="preserve"> of facial pictures lead, in principle, to progressively precise expectations. Precision is measured not just by the </w:t>
      </w:r>
      <w:r w:rsidR="00412BA6">
        <w:rPr>
          <w:shd w:val="clear" w:color="auto" w:fill="FFFFFF"/>
        </w:rPr>
        <w:t>number</w:t>
      </w:r>
      <w:r>
        <w:rPr>
          <w:shd w:val="clear" w:color="auto" w:fill="FFFFFF"/>
        </w:rPr>
        <w:t xml:space="preserve"> of facial pictures treated but also by the nature of those pictures and data quality requires a diverse collection of images that depict various groups of people</w:t>
      </w:r>
      <w:r w:rsidR="00412BA6">
        <w:rPr>
          <w:shd w:val="clear" w:color="auto" w:fill="FFFFFF"/>
        </w:rPr>
        <w:t xml:space="preserve"> (FRA 2019)</w:t>
      </w:r>
      <w:r>
        <w:rPr>
          <w:shd w:val="clear" w:color="auto" w:fill="FFFFFF"/>
        </w:rPr>
        <w:t>. Face images have been so far used to build algorithms that regularly over-speak to white men, with lower quantities of women as well as people of other ethnic backgrounds</w:t>
      </w:r>
      <w:r w:rsidR="00412BA6">
        <w:rPr>
          <w:shd w:val="clear" w:color="auto" w:fill="FFFFFF"/>
        </w:rPr>
        <w:t xml:space="preserve"> (</w:t>
      </w:r>
      <w:r w:rsidR="00412BA6">
        <w:rPr>
          <w:color w:val="000000"/>
        </w:rPr>
        <w:t>Buolamwini and Gebru</w:t>
      </w:r>
      <w:r w:rsidR="00412BA6">
        <w:rPr>
          <w:shd w:val="clear" w:color="auto" w:fill="FFFFFF"/>
        </w:rPr>
        <w:t xml:space="preserve"> 2018).</w:t>
      </w:r>
    </w:p>
    <w:p w14:paraId="5C34669B" w14:textId="26C94DBA" w:rsidR="003D556C" w:rsidRDefault="003D556C" w:rsidP="003D556C">
      <w:pPr>
        <w:spacing w:line="360" w:lineRule="auto"/>
        <w:jc w:val="both"/>
        <w:rPr>
          <w:shd w:val="clear" w:color="auto" w:fill="FFFFFF"/>
        </w:rPr>
      </w:pPr>
      <w:r>
        <w:rPr>
          <w:shd w:val="clear" w:color="auto" w:fill="FFFFFF"/>
        </w:rPr>
        <w:lastRenderedPageBreak/>
        <w:t>The effect of biometric matching in FRT may be influenced by phenotypical characteristics like hair or skin colour: light reflection influences the quality of facial images of lighter looking people, and insufficient light influences the quality for darker looking persons</w:t>
      </w:r>
      <w:r w:rsidR="00412BA6">
        <w:rPr>
          <w:shd w:val="clear" w:color="auto" w:fill="FFFFFF"/>
        </w:rPr>
        <w:t xml:space="preserve"> (FRA 2018)</w:t>
      </w:r>
      <w:r>
        <w:rPr>
          <w:shd w:val="clear" w:color="auto" w:fill="FFFFFF"/>
        </w:rPr>
        <w:t xml:space="preserve">. By comparing their facial expressions to a database, such individuals are thereby faced with a greater probability of being wrongly identified as false positives. </w:t>
      </w:r>
    </w:p>
    <w:p w14:paraId="61511CFA" w14:textId="77777777" w:rsidR="003D556C" w:rsidRDefault="003D556C" w:rsidP="003D556C">
      <w:pPr>
        <w:spacing w:line="360" w:lineRule="auto"/>
        <w:jc w:val="both"/>
        <w:rPr>
          <w:bCs/>
        </w:rPr>
      </w:pPr>
      <w:r>
        <w:rPr>
          <w:bCs/>
        </w:rPr>
        <w:t>Biases present in the current information collection may be the result of manual examination. Then, these can, with much of a stretch, be changed over into automated biases. AI works based on black-box decision procedures, which makes it extremely hard to work out even for computer researchers whether the result is biased and in which direction the bias is occurring.</w:t>
      </w:r>
    </w:p>
    <w:p w14:paraId="2930F85A" w14:textId="47814C09" w:rsidR="003D556C" w:rsidRPr="00215D10" w:rsidRDefault="003D556C" w:rsidP="003D556C">
      <w:pPr>
        <w:spacing w:line="360" w:lineRule="auto"/>
        <w:jc w:val="both"/>
      </w:pPr>
      <w:r>
        <w:t>To create the ‘sensitive terms’ that can potentially result in biased outputs, the AI system would require access to potentially sensitive information. This case is different from the human-like process where avoiding access to a term excludes its use in the decision. However, AI systems can ‘reconstruct sensitive information from high-dimensional inputs’</w:t>
      </w:r>
      <w:r w:rsidR="00412BA6">
        <w:t xml:space="preserve"> (Doshi-Velez, Kortz et. al 2017)</w:t>
      </w:r>
      <w:r>
        <w:t>. They can create a proxy for a protected category, even when this category has not been explicitly provided. The legal system must work on a methodology where the designers of the technology allow for these ‘sensitive terms’ to be collected and used appropriately, and then tested, to avoid the generation of proxies for them. The role of regulation is crucial to make sure that the ‘sensitive terms’ ‘collected by AI system designers are used only to ensure that the AI system is designed correctly, and not for other purposes within the organization.’</w:t>
      </w:r>
      <w:r w:rsidR="00412BA6">
        <w:t xml:space="preserve"> (Doshi-Velez, Kortz et. al 2017).</w:t>
      </w:r>
      <w:r w:rsidR="00215D10">
        <w:t xml:space="preserve"> </w:t>
      </w:r>
      <w:r>
        <w:rPr>
          <w:shd w:val="clear" w:color="auto" w:fill="FFFFFF"/>
        </w:rPr>
        <w:t>There is also an absence of research and little dialogue on how FRT (and AI more broadly) affects individuals with disabilities. Too little evidence is available about the degree to which FRT operates specifically on various types of disabilities or face injuries, for example, individuals whose face has been altered due to an accident or paralysis, individuals who have undergone facial surgical procedures or individuals with craniofacial differences</w:t>
      </w:r>
      <w:r w:rsidR="00215D10">
        <w:rPr>
          <w:shd w:val="clear" w:color="auto" w:fill="FFFFFF"/>
        </w:rPr>
        <w:t xml:space="preserve"> (Whittaker et. al. 2019)</w:t>
      </w:r>
      <w:r>
        <w:rPr>
          <w:shd w:val="clear" w:color="auto" w:fill="FFFFFF"/>
        </w:rPr>
        <w:t xml:space="preserve">. Further work would be needed to determine whether FRT-AI will discriminate against individuals with different disabilities. </w:t>
      </w:r>
    </w:p>
    <w:p w14:paraId="56B46D42" w14:textId="5FD4E9F2" w:rsidR="003D556C" w:rsidRDefault="003D556C" w:rsidP="003D556C">
      <w:pPr>
        <w:spacing w:line="360" w:lineRule="auto"/>
        <w:jc w:val="both"/>
      </w:pPr>
      <w:r>
        <w:t xml:space="preserve">Furthermore, FRT represents a challenge for the principle of transparency especially in </w:t>
      </w:r>
      <w:r w:rsidR="00215D10">
        <w:t>Live Facial Recognition Technology (</w:t>
      </w:r>
      <w:r>
        <w:t>LFRT</w:t>
      </w:r>
      <w:r w:rsidR="00215D10">
        <w:t>)</w:t>
      </w:r>
      <w:r>
        <w:t>, where there is a possibility that ‘people’s facial images are captured by cameras at public places without their knowledge and consent’</w:t>
      </w:r>
      <w:r w:rsidR="00215D10">
        <w:t xml:space="preserve"> (FRA 2020)</w:t>
      </w:r>
      <w:r>
        <w:t>.</w:t>
      </w:r>
      <w:r w:rsidR="00215D10">
        <w:t xml:space="preserve"> </w:t>
      </w:r>
      <w:r>
        <w:t xml:space="preserve">There is also the possibility that these images are accessed </w:t>
      </w:r>
      <w:r>
        <w:lastRenderedPageBreak/>
        <w:t>unlawfully by scraping other web pages, such as search engine caches. The manner and sources data are collected from through FRT, in a similar way to what happens with location data on mobile phones, difficult the understanding by the data subject of their data being processed</w:t>
      </w:r>
      <w:r w:rsidR="00215D10">
        <w:t xml:space="preserve"> (Bal 2012) (Andrew 2018)</w:t>
      </w:r>
      <w:r>
        <w:t>.</w:t>
      </w:r>
    </w:p>
    <w:p w14:paraId="2D438D83" w14:textId="61D46D1A" w:rsidR="003F2E8B" w:rsidRDefault="003D556C" w:rsidP="00A13D1E">
      <w:pPr>
        <w:spacing w:line="360" w:lineRule="auto"/>
        <w:jc w:val="both"/>
      </w:pPr>
      <w:r>
        <w:t xml:space="preserve">Particularly problematic, from the privacy point of view, is the scenario in which an image from an individual obtained from a surveillance camera in a public place is automatically </w:t>
      </w:r>
      <w:r w:rsidR="003F2E8B">
        <w:t>matched without their prior permission against a database. This possibility allows monitoring of people without their knowledge and/or consent. In this case</w:t>
      </w:r>
      <w:r w:rsidR="00E72FC1">
        <w:t xml:space="preserve"> if</w:t>
      </w:r>
      <w:r w:rsidR="003F2E8B">
        <w:t xml:space="preserve"> the matching operation is performed in an untrusted environment, it would be necessary to determine to which party the data is to be revealed. A possible solution is the implementation of an efficient system that allows the biometrics and the result from the server in charge of performing the matching operation to be hidden. </w:t>
      </w:r>
      <w:r w:rsidR="00A13D1E">
        <w:t xml:space="preserve">There are other lawful </w:t>
      </w:r>
      <w:r w:rsidR="00E72FC1">
        <w:t>grounds</w:t>
      </w:r>
      <w:r w:rsidR="00A13D1E">
        <w:t xml:space="preserve"> for data processing by FRT such as the public interest clause, but this is a blurry concept in need of further clarification to be adequately applied. </w:t>
      </w:r>
    </w:p>
    <w:p w14:paraId="168E4106" w14:textId="4E44B1C3" w:rsidR="003F2E8B" w:rsidRPr="00A13D1E" w:rsidRDefault="003F2E8B" w:rsidP="00A13D1E">
      <w:pPr>
        <w:pStyle w:val="Prrafodelista"/>
        <w:spacing w:line="360" w:lineRule="auto"/>
        <w:ind w:left="1080" w:hanging="371"/>
        <w:jc w:val="both"/>
        <w:rPr>
          <w:i/>
        </w:rPr>
      </w:pPr>
      <w:r w:rsidRPr="00A13D1E">
        <w:rPr>
          <w:i/>
        </w:rPr>
        <w:t>Legal challenges regarding the principles of purpose limitation, data minimisation and storage limitation</w:t>
      </w:r>
    </w:p>
    <w:p w14:paraId="6A615227" w14:textId="7372E664" w:rsidR="003F2E8B" w:rsidRDefault="003F2E8B" w:rsidP="003F2E8B">
      <w:pPr>
        <w:spacing w:line="360" w:lineRule="auto"/>
        <w:jc w:val="both"/>
      </w:pPr>
      <w:r>
        <w:rPr>
          <w:rFonts w:asciiTheme="majorBidi" w:hAnsiTheme="majorBidi" w:cstheme="majorBidi"/>
        </w:rPr>
        <w:t xml:space="preserve">According to Article 5.2 GDPR, the data controller shall be responsible and demonstrate compliance with the principles contemplated in Articles 5.1.b, c and e. </w:t>
      </w:r>
      <w:r>
        <w:t xml:space="preserve">On the one hand, the solution proposed by a sector of the technology industry is comparable to the one placed in the United States for tracking individuals via mobile phone generated GPS locations. Taking as a starting point the </w:t>
      </w:r>
      <w:r>
        <w:rPr>
          <w:i/>
        </w:rPr>
        <w:t>Carpenter vs. United States</w:t>
      </w:r>
      <w:r>
        <w:t xml:space="preserve"> case,</w:t>
      </w:r>
      <w:r>
        <w:rPr>
          <w:rStyle w:val="Refdenotaalpie"/>
        </w:rPr>
        <w:footnoteReference w:id="59"/>
      </w:r>
      <w:r>
        <w:t xml:space="preserve"> they claim the use of facial recognition for law enforcement purposes only in cases where there is a court order for this action or ‘an emergency involving imminent danger to human life.’</w:t>
      </w:r>
      <w:r w:rsidR="00A13D1E" w:rsidRPr="00A13D1E">
        <w:t xml:space="preserve"> </w:t>
      </w:r>
      <w:r w:rsidR="00A13D1E">
        <w:t>(</w:t>
      </w:r>
      <w:r w:rsidR="00A13D1E">
        <w:rPr>
          <w:shd w:val="clear" w:color="auto" w:fill="FFFFFF"/>
        </w:rPr>
        <w:t>Smith and Browne 2019).</w:t>
      </w:r>
      <w:r>
        <w:t xml:space="preserve"> In this case, faces would receive the same protection as telephones. In the same line, the European Commission’s High-Level Expert Group on Artificial Intelligence specifically recommends the proportionate use of FRT and suggests that its application must be warranted in existing laws</w:t>
      </w:r>
      <w:r w:rsidR="00354878">
        <w:t xml:space="preserve"> (European Commission 2019)</w:t>
      </w:r>
      <w:r>
        <w:t xml:space="preserve">. </w:t>
      </w:r>
    </w:p>
    <w:p w14:paraId="32998D3E" w14:textId="2AFF92FC" w:rsidR="003F2E8B" w:rsidRDefault="003F2E8B" w:rsidP="003F2E8B">
      <w:pPr>
        <w:spacing w:line="360" w:lineRule="auto"/>
        <w:jc w:val="both"/>
      </w:pPr>
      <w:r>
        <w:rPr>
          <w:shd w:val="clear" w:color="auto" w:fill="FFFFFF"/>
        </w:rPr>
        <w:t>An additional challenge of FRT-AI is its possible interoperability with other IT systems</w:t>
      </w:r>
      <w:r>
        <w:t>. In this case, purpose limitation</w:t>
      </w:r>
      <w:r w:rsidR="00A13D1E" w:rsidRPr="00A13D1E">
        <w:rPr>
          <w:rStyle w:val="Refdenotaalpie"/>
          <w:rFonts w:asciiTheme="majorBidi" w:hAnsiTheme="majorBidi" w:cstheme="majorBidi"/>
        </w:rPr>
        <w:footnoteReference w:id="60"/>
      </w:r>
      <w:r>
        <w:t xml:space="preserve"> will be very difficult to assess. Data must be securely gathered, handled and ‘unlawful data processing must be prevented and detected’</w:t>
      </w:r>
      <w:r w:rsidR="00354878">
        <w:t xml:space="preserve"> (FRA </w:t>
      </w:r>
      <w:r w:rsidR="00354878">
        <w:lastRenderedPageBreak/>
        <w:t>2018)</w:t>
      </w:r>
      <w:r>
        <w:t>.</w:t>
      </w:r>
      <w:r w:rsidR="00354878">
        <w:t xml:space="preserve"> </w:t>
      </w:r>
      <w:r>
        <w:t xml:space="preserve">One thing to remember is unapproved access to, and use of, personal data processed by FRT-AI. Article 32 of the GDPR calls for </w:t>
      </w:r>
      <w:r w:rsidR="00D17793">
        <w:t>MS</w:t>
      </w:r>
      <w:r>
        <w:t xml:space="preserve"> to take action to mitigate individual information being unveiled to, or obtained by, unauthorised people or organs. To stay away from potential data leakages by protecting biometric information, and thus expanding information security, the current research is evaluating technological answers to secure biometric identifiers (templates)</w:t>
      </w:r>
      <w:r w:rsidR="00354878">
        <w:t xml:space="preserve"> (Gomez-Barrero</w:t>
      </w:r>
      <w:r w:rsidR="00354878">
        <w:rPr>
          <w:color w:val="000000"/>
        </w:rPr>
        <w:t xml:space="preserve"> et al. 2018)</w:t>
      </w:r>
      <w:r>
        <w:t xml:space="preserve">. </w:t>
      </w:r>
    </w:p>
    <w:p w14:paraId="47CC4CA7" w14:textId="7DF582C1" w:rsidR="003F2E8B" w:rsidRDefault="003F2E8B" w:rsidP="003F2E8B">
      <w:pPr>
        <w:spacing w:line="360" w:lineRule="auto"/>
        <w:jc w:val="both"/>
      </w:pPr>
      <w:r>
        <w:t>Another worrying aspect is the use of FRT with different purposes or in a different manner from the initially projected. A recent report</w:t>
      </w:r>
      <w:r>
        <w:rPr>
          <w:rStyle w:val="Refdenotaalpie"/>
        </w:rPr>
        <w:footnoteReference w:id="61"/>
      </w:r>
      <w:r>
        <w:t xml:space="preserve"> revealed the use, by the US government, of a database for not its initial purpose to favour its interests, with devastating consequences for the immigrant community. A database could collect facial images from different sources, processing them for a different purpose for which they were collected; this concerned has been expressed before, for example, with databases such as MegaFace</w:t>
      </w:r>
      <w:r w:rsidR="00E81F21">
        <w:t xml:space="preserve"> </w:t>
      </w:r>
      <w:r w:rsidR="00E81F21" w:rsidRPr="00E81F21">
        <w:t>(</w:t>
      </w:r>
      <w:r w:rsidR="00E81F21" w:rsidRPr="00E81F21">
        <w:rPr>
          <w:shd w:val="clear" w:color="auto" w:fill="FFFFFF"/>
        </w:rPr>
        <w:t>Leenes, Van Brakel et al. 2018)</w:t>
      </w:r>
      <w:r w:rsidRPr="00E81F21">
        <w:t>.</w:t>
      </w:r>
    </w:p>
    <w:p w14:paraId="03A5874D" w14:textId="63F4D840" w:rsidR="003F2E8B" w:rsidRDefault="003F2E8B" w:rsidP="003F2E8B">
      <w:pPr>
        <w:spacing w:line="360" w:lineRule="auto"/>
        <w:jc w:val="both"/>
      </w:pPr>
      <w:r>
        <w:t xml:space="preserve">Taking into consideration the rules of Article 5.1.c and e GDPR, it might be appropriate to use </w:t>
      </w:r>
      <w:r w:rsidR="00E72FC1">
        <w:t>black box</w:t>
      </w:r>
      <w:r>
        <w:t xml:space="preserve"> approaches where the intermediate face templates are completely erased if possible. The longer the storage period, the greater the case for the validity of the purpose and the necessity of storage needs to be provided. When the controller plans to retain the data, they must ensure that storage is still enough to accomplish the objective. If so, the period of storage for each particular purpose must be clearly defined and set individually</w:t>
      </w:r>
      <w:r w:rsidR="00E81F21">
        <w:t xml:space="preserve"> (European Data Protection Board 2020)</w:t>
      </w:r>
      <w:r>
        <w:t xml:space="preserve">. </w:t>
      </w:r>
    </w:p>
    <w:p w14:paraId="5648D933" w14:textId="77777777" w:rsidR="003F2E8B" w:rsidRDefault="003F2E8B" w:rsidP="003F2E8B">
      <w:pPr>
        <w:spacing w:line="360" w:lineRule="auto"/>
        <w:ind w:firstLine="426"/>
        <w:jc w:val="both"/>
        <w:rPr>
          <w:rFonts w:asciiTheme="majorBidi" w:hAnsiTheme="majorBidi" w:cstheme="majorBidi"/>
          <w:b/>
          <w:bCs/>
        </w:rPr>
      </w:pPr>
      <w:r>
        <w:rPr>
          <w:rFonts w:asciiTheme="majorBidi" w:hAnsiTheme="majorBidi" w:cstheme="majorBidi"/>
          <w:b/>
          <w:bCs/>
        </w:rPr>
        <w:t>Consequences</w:t>
      </w:r>
    </w:p>
    <w:p w14:paraId="43C15757" w14:textId="64068E18" w:rsidR="003F2E8B" w:rsidRDefault="003F2E8B" w:rsidP="003F2E8B">
      <w:pPr>
        <w:spacing w:line="360" w:lineRule="auto"/>
        <w:jc w:val="both"/>
      </w:pPr>
      <w:r>
        <w:t>Considering the different issues between FRT-AI and accountability regarding data protection, the Data Protection Authorities have expressed their intention to take a proactive role in the discussion about facial recognition</w:t>
      </w:r>
      <w:r w:rsidR="00DD7203">
        <w:t xml:space="preserve"> (</w:t>
      </w:r>
      <w:r w:rsidR="00DD7203" w:rsidRPr="00DD7203">
        <w:rPr>
          <w:shd w:val="clear" w:color="auto" w:fill="FFFFFF"/>
        </w:rPr>
        <w:t>Commission nationale de l’informatique et des libertés</w:t>
      </w:r>
      <w:r w:rsidR="00DD7203">
        <w:rPr>
          <w:shd w:val="clear" w:color="auto" w:fill="FFFFFF"/>
        </w:rPr>
        <w:t xml:space="preserve"> </w:t>
      </w:r>
      <w:r w:rsidR="00DD7203" w:rsidRPr="00DD7203">
        <w:rPr>
          <w:shd w:val="clear" w:color="auto" w:fill="FFFFFF"/>
        </w:rPr>
        <w:t>2019</w:t>
      </w:r>
      <w:r w:rsidR="00DD7203">
        <w:rPr>
          <w:shd w:val="clear" w:color="auto" w:fill="FFFFFF"/>
        </w:rPr>
        <w:t>)</w:t>
      </w:r>
      <w:r>
        <w:t>.</w:t>
      </w:r>
      <w:r>
        <w:rPr>
          <w:rStyle w:val="Refdenotaalpie"/>
        </w:rPr>
        <w:footnoteReference w:id="62"/>
      </w:r>
      <w:r>
        <w:t xml:space="preserve"> Additionally, governments beyond the European Union are facing this debate now.</w:t>
      </w:r>
      <w:r>
        <w:rPr>
          <w:rStyle w:val="Refdenotaalpie"/>
        </w:rPr>
        <w:footnoteReference w:id="63"/>
      </w:r>
      <w:r>
        <w:t xml:space="preserve"> This concern has been widely expressed by multiple </w:t>
      </w:r>
      <w:r>
        <w:lastRenderedPageBreak/>
        <w:t>actors at different levels: technology companies,</w:t>
      </w:r>
      <w:r>
        <w:rPr>
          <w:rStyle w:val="Refdenotaalpie"/>
        </w:rPr>
        <w:footnoteReference w:id="64"/>
      </w:r>
      <w:r>
        <w:t xml:space="preserve"> scholarship</w:t>
      </w:r>
      <w:r w:rsidR="00DD7203">
        <w:t xml:space="preserve"> </w:t>
      </w:r>
      <w:r w:rsidR="00DD7203" w:rsidRPr="00DD7203">
        <w:t>(</w:t>
      </w:r>
      <w:r w:rsidR="00DD7203" w:rsidRPr="00DD7203">
        <w:rPr>
          <w:shd w:val="clear" w:color="auto" w:fill="FFFFFF"/>
        </w:rPr>
        <w:t>Jain, Ross et al. 2004)</w:t>
      </w:r>
      <w:r w:rsidR="00B41609">
        <w:rPr>
          <w:shd w:val="clear" w:color="auto" w:fill="FFFFFF"/>
        </w:rPr>
        <w:t xml:space="preserve"> </w:t>
      </w:r>
      <w:r w:rsidR="00B41609" w:rsidRPr="00B41609">
        <w:rPr>
          <w:shd w:val="clear" w:color="auto" w:fill="FFFFFF"/>
        </w:rPr>
        <w:t>(Raji and Buolamwini 2019)</w:t>
      </w:r>
      <w:r w:rsidRPr="00DD7203">
        <w:t>,</w:t>
      </w:r>
      <w:r>
        <w:t xml:space="preserve"> European authorities</w:t>
      </w:r>
      <w:r w:rsidR="00B41609">
        <w:t xml:space="preserve"> </w:t>
      </w:r>
      <w:r w:rsidR="00B41609" w:rsidRPr="00B41609">
        <w:t>(Article 29 Data Protection Working Party 2012)</w:t>
      </w:r>
      <w:r w:rsidR="00B41609">
        <w:t xml:space="preserve"> (FRA 2018) </w:t>
      </w:r>
      <w:r w:rsidR="00B41609">
        <w:rPr>
          <w:iCs/>
          <w:shd w:val="clear" w:color="auto" w:fill="FFFFFF"/>
        </w:rPr>
        <w:t xml:space="preserve">(Koene, Clifton et. al. 2019) </w:t>
      </w:r>
      <w:r w:rsidR="00B41609">
        <w:t>(European Commission 2019) (FRA 2020)</w:t>
      </w:r>
      <w:r w:rsidRPr="00B41609">
        <w:t>,</w:t>
      </w:r>
      <w:r>
        <w:t xml:space="preserve"> etc.</w:t>
      </w:r>
    </w:p>
    <w:p w14:paraId="6B40765A" w14:textId="6EB15018" w:rsidR="003F2E8B" w:rsidRDefault="003F2E8B" w:rsidP="003F2E8B">
      <w:pPr>
        <w:spacing w:before="240" w:line="360" w:lineRule="auto"/>
        <w:jc w:val="both"/>
      </w:pPr>
      <w:r>
        <w:t xml:space="preserve">It is important to point out that the privacy movement in the United States started in the context of the improvements in camera </w:t>
      </w:r>
      <w:r w:rsidRPr="00B41609">
        <w:t>technology</w:t>
      </w:r>
      <w:r w:rsidR="00B41609" w:rsidRPr="00B41609">
        <w:t xml:space="preserve"> (</w:t>
      </w:r>
      <w:r w:rsidR="00B41609" w:rsidRPr="00B41609">
        <w:rPr>
          <w:shd w:val="clear" w:color="auto" w:fill="FFFFFF"/>
          <w:lang w:val="de-DE"/>
        </w:rPr>
        <w:t>Warren</w:t>
      </w:r>
      <w:r w:rsidR="00B41609">
        <w:rPr>
          <w:shd w:val="clear" w:color="auto" w:fill="FFFFFF"/>
          <w:lang w:val="de-DE"/>
        </w:rPr>
        <w:t xml:space="preserve"> and</w:t>
      </w:r>
      <w:r w:rsidR="00B41609" w:rsidRPr="00B41609">
        <w:rPr>
          <w:shd w:val="clear" w:color="auto" w:fill="FFFFFF"/>
          <w:lang w:val="de-DE"/>
        </w:rPr>
        <w:t xml:space="preserve"> Brandeis</w:t>
      </w:r>
      <w:r w:rsidR="00B41609">
        <w:rPr>
          <w:shd w:val="clear" w:color="auto" w:fill="FFFFFF"/>
          <w:lang w:val="de-DE"/>
        </w:rPr>
        <w:t xml:space="preserve"> </w:t>
      </w:r>
      <w:r w:rsidR="00B41609" w:rsidRPr="00B41609">
        <w:rPr>
          <w:shd w:val="clear" w:color="auto" w:fill="FFFFFF"/>
          <w:lang w:val="de-DE"/>
        </w:rPr>
        <w:t>1890)</w:t>
      </w:r>
      <w:r w:rsidRPr="00B41609">
        <w:t>.</w:t>
      </w:r>
      <w:r>
        <w:t xml:space="preserve"> This movement was born thinking about the circulation of ‘instantaneous photographs’ by newspapers for commercial purposes, but the privacy concern is not very different from the one with facial recognition.</w:t>
      </w:r>
    </w:p>
    <w:p w14:paraId="23093B0E" w14:textId="68FFC98B" w:rsidR="003F2E8B" w:rsidRDefault="003F2E8B" w:rsidP="003F2E8B">
      <w:pPr>
        <w:pStyle w:val="Textoindependiente"/>
        <w:spacing w:before="77" w:line="360" w:lineRule="auto"/>
        <w:ind w:right="116"/>
        <w:jc w:val="both"/>
      </w:pPr>
      <w:r>
        <w:rPr>
          <w:shd w:val="clear" w:color="auto" w:fill="FFFFFF"/>
        </w:rPr>
        <w:t>Furthermore, in July 2018, Bradford L. Smith, Microsoft's CEO, contrasted the FRT innovation with items like drugs that are profoundly regulated, and he asked Congress to contemplate it and direct its utilization.</w:t>
      </w:r>
      <w:r>
        <w:rPr>
          <w:rStyle w:val="Refdenotaalpie"/>
          <w:shd w:val="clear" w:color="auto" w:fill="FFFFFF"/>
        </w:rPr>
        <w:footnoteReference w:id="65"/>
      </w:r>
      <w:r>
        <w:rPr>
          <w:shd w:val="clear" w:color="auto" w:fill="FFFFFF"/>
        </w:rPr>
        <w:t xml:space="preserve"> </w:t>
      </w:r>
      <w:r>
        <w:t>Moreover, the actors from the technology industry have stated that ‘when combined with ubiquitous cameras and massive computing power and storage in the cloud, facial recognition technology could be used by a government to enable continuous surveillance of specific individuals.’</w:t>
      </w:r>
      <w:r>
        <w:rPr>
          <w:rStyle w:val="Refdenotaalpie"/>
        </w:rPr>
        <w:footnoteReference w:id="66"/>
      </w:r>
      <w:r>
        <w:t xml:space="preserve"> and that this ‘use of such technology in this way could unleash mass surveillance on an unprecedented scale.’</w:t>
      </w:r>
      <w:r w:rsidR="009A7B14" w:rsidRPr="009A7B14">
        <w:t xml:space="preserve"> </w:t>
      </w:r>
      <w:r w:rsidR="009A7B14">
        <w:t>(</w:t>
      </w:r>
      <w:r w:rsidR="009A7B14">
        <w:rPr>
          <w:shd w:val="clear" w:color="auto" w:fill="FFFFFF"/>
        </w:rPr>
        <w:t>Smith and Browne 2019).</w:t>
      </w:r>
      <w:r>
        <w:t xml:space="preserve"> In the same line, in the context of the ‘Black Lives Matter’ movement and the events that followed the death of George Floyd in 2020, IBM decided to stop offering ‘general purpose […] facial recognition or </w:t>
      </w:r>
      <w:r>
        <w:lastRenderedPageBreak/>
        <w:t>analysis</w:t>
      </w:r>
      <w:r>
        <w:rPr>
          <w:spacing w:val="-2"/>
        </w:rPr>
        <w:t xml:space="preserve"> </w:t>
      </w:r>
      <w:r>
        <w:t>software’.</w:t>
      </w:r>
      <w:r>
        <w:rPr>
          <w:rStyle w:val="Refdenotaalpie"/>
        </w:rPr>
        <w:footnoteReference w:id="67"/>
      </w:r>
      <w:r>
        <w:t xml:space="preserve"> Not later, Amazon</w:t>
      </w:r>
      <w:r>
        <w:rPr>
          <w:rStyle w:val="Refdenotaalpie"/>
        </w:rPr>
        <w:footnoteReference w:id="68"/>
      </w:r>
      <w:r>
        <w:t xml:space="preserve"> and Microsoft</w:t>
      </w:r>
      <w:r>
        <w:rPr>
          <w:rStyle w:val="Refdenotaalpie"/>
        </w:rPr>
        <w:footnoteReference w:id="69"/>
      </w:r>
      <w:r>
        <w:t xml:space="preserve"> followed this movement. </w:t>
      </w:r>
    </w:p>
    <w:p w14:paraId="7D02ADAA" w14:textId="3200E55D" w:rsidR="003F2E8B" w:rsidRDefault="003F2E8B" w:rsidP="003F2E8B">
      <w:pPr>
        <w:spacing w:line="360" w:lineRule="auto"/>
        <w:jc w:val="both"/>
      </w:pPr>
      <w:r>
        <w:t>The clearest example of a place where this scenario is already set in place is probably China. This technology has become almost omnipresent there since 2017</w:t>
      </w:r>
      <w:r w:rsidR="009A7B14">
        <w:t xml:space="preserve"> (EPIC 2019)</w:t>
      </w:r>
      <w:r>
        <w:t>. In China, the application of FRT systems covers multiple private and public sectors.</w:t>
      </w:r>
      <w:r>
        <w:rPr>
          <w:rStyle w:val="Refdenotaalpie"/>
        </w:rPr>
        <w:footnoteReference w:id="70"/>
      </w:r>
      <w:r>
        <w:t xml:space="preserve"> </w:t>
      </w:r>
      <w:r>
        <w:rPr>
          <w:iCs/>
          <w:lang w:eastAsia="es-ES"/>
        </w:rPr>
        <w:t>China has been recently acknowledged ‘</w:t>
      </w:r>
      <w:r>
        <w:rPr>
          <w:shd w:val="clear" w:color="auto" w:fill="FFFFFF"/>
        </w:rPr>
        <w:t>the worst of 50 surveyed countries in a study looking at how extensively and invasively biometric ID and surveillance systems are being deployed’.</w:t>
      </w:r>
      <w:r>
        <w:rPr>
          <w:rStyle w:val="Refdenotaalpie"/>
          <w:shd w:val="clear" w:color="auto" w:fill="FFFFFF"/>
        </w:rPr>
        <w:footnoteReference w:id="71"/>
      </w:r>
      <w:r>
        <w:rPr>
          <w:shd w:val="clear" w:color="auto" w:fill="FFFFFF"/>
        </w:rPr>
        <w:t xml:space="preserve"> Apart from that, nine Chinese cities are among </w:t>
      </w:r>
      <w:r>
        <w:t>the 20 most surveyed in the world (the only city from a Member State on the list being Berlin).</w:t>
      </w:r>
      <w:r>
        <w:rPr>
          <w:rStyle w:val="Refdenotaalpie"/>
        </w:rPr>
        <w:footnoteReference w:id="72"/>
      </w:r>
      <w:r>
        <w:t xml:space="preserve"> Moreover, China is the world’s leader in monitoring by CCTV with estimates varying ‘on the number of CCTV cameras in China, but reports range from 200 million up to 626 million in use by 2020’.</w:t>
      </w:r>
      <w:r>
        <w:rPr>
          <w:rStyle w:val="Refdenotaalpie"/>
        </w:rPr>
        <w:footnoteReference w:id="73"/>
      </w:r>
      <w:r>
        <w:t xml:space="preserve"> In this line, multiple voices are pointing out at Chinese’s use of this technology concerning fundamental rights.</w:t>
      </w:r>
      <w:r>
        <w:rPr>
          <w:rStyle w:val="Refdenotaalpie"/>
        </w:rPr>
        <w:footnoteReference w:id="74"/>
      </w:r>
      <w:r>
        <w:t xml:space="preserve"> Furthermore, China's aspirations in AI, and consequently FRT, are high. The nation plans to turn into a world leader in AI by 2030.</w:t>
      </w:r>
      <w:r>
        <w:rPr>
          <w:rStyle w:val="Refdenotaalpie"/>
        </w:rPr>
        <w:footnoteReference w:id="75"/>
      </w:r>
      <w:r>
        <w:t xml:space="preserve"> </w:t>
      </w:r>
    </w:p>
    <w:p w14:paraId="6ACD5FB2" w14:textId="77777777" w:rsidR="003F2E8B" w:rsidRPr="00E72FC1" w:rsidRDefault="003F2E8B" w:rsidP="00E026E2">
      <w:pPr>
        <w:spacing w:line="360" w:lineRule="auto"/>
        <w:ind w:firstLine="426"/>
        <w:jc w:val="both"/>
        <w:rPr>
          <w:rFonts w:asciiTheme="majorBidi" w:hAnsiTheme="majorBidi" w:cstheme="majorBidi"/>
          <w:i/>
          <w:iCs/>
        </w:rPr>
      </w:pPr>
      <w:r w:rsidRPr="00E72FC1">
        <w:rPr>
          <w:rFonts w:asciiTheme="majorBidi" w:hAnsiTheme="majorBidi" w:cstheme="majorBidi"/>
          <w:i/>
          <w:iCs/>
        </w:rPr>
        <w:lastRenderedPageBreak/>
        <w:t>Banning scenario</w:t>
      </w:r>
    </w:p>
    <w:p w14:paraId="63DD2320" w14:textId="77777777" w:rsidR="003F2E8B" w:rsidRDefault="003F2E8B" w:rsidP="003F2E8B">
      <w:pPr>
        <w:spacing w:line="360" w:lineRule="auto"/>
      </w:pPr>
      <w:r>
        <w:t>Considering the multiple voices against the use of FRT, in 2020, Europe was evaluating a five-year prohibition on facial recognition use in public areas.</w:t>
      </w:r>
      <w:r>
        <w:rPr>
          <w:rStyle w:val="Refdenotaalpie"/>
        </w:rPr>
        <w:footnoteReference w:id="76"/>
      </w:r>
      <w:r>
        <w:t xml:space="preserve"> </w:t>
      </w:r>
    </w:p>
    <w:p w14:paraId="732ACCA8" w14:textId="77777777" w:rsidR="00E026E2" w:rsidRDefault="003F2E8B" w:rsidP="00E026E2">
      <w:pPr>
        <w:spacing w:line="360" w:lineRule="auto"/>
        <w:jc w:val="both"/>
        <w:rPr>
          <w:shd w:val="clear" w:color="auto" w:fill="FFFFFF"/>
        </w:rPr>
      </w:pPr>
      <w:r>
        <w:rPr>
          <w:shd w:val="clear" w:color="auto" w:fill="FFFFFF"/>
        </w:rPr>
        <w:t>Security and social liberties concerns have also heightened in the U.S. as FRT-AI picks up footing as a law enforcement device to the point that on 6 May 2019, San Francisco voted to ban FRT. It was the first ban of its sort on the utilization of FRT.</w:t>
      </w:r>
      <w:r>
        <w:rPr>
          <w:rStyle w:val="Refdenotaalpie"/>
          <w:shd w:val="clear" w:color="auto" w:fill="FFFFFF"/>
        </w:rPr>
        <w:footnoteReference w:id="77"/>
      </w:r>
      <w:r>
        <w:rPr>
          <w:shd w:val="clear" w:color="auto" w:fill="FFFFFF"/>
        </w:rPr>
        <w:t xml:space="preserve"> The regulation, signed by San Francisco's Board of Supervisors, bans city organizations, including San Francisco PD, from utilizing this resource. On July 16 same year, Oakland (California) took a similar choice and turned into the third U.S. city to ban the utilization of FRT. However, the Oakland Police division was not using this technology and is not intending to.</w:t>
      </w:r>
      <w:r>
        <w:rPr>
          <w:shd w:val="clear" w:color="auto" w:fill="FFFFFF"/>
          <w:vertAlign w:val="superscript"/>
        </w:rPr>
        <w:footnoteReference w:id="78"/>
      </w:r>
      <w:r>
        <w:rPr>
          <w:shd w:val="clear" w:color="auto" w:fill="FFFFFF"/>
        </w:rPr>
        <w:t xml:space="preserve"> San Diego made the same decision in December 2019. This new law about facial recognition and other biometric observation explicitly precludes the utilization of police body cameras in California.</w:t>
      </w:r>
      <w:r>
        <w:rPr>
          <w:rStyle w:val="Refdenotaalpie"/>
          <w:shd w:val="clear" w:color="auto" w:fill="FFFFFF"/>
        </w:rPr>
        <w:footnoteReference w:id="79"/>
      </w:r>
      <w:r>
        <w:rPr>
          <w:shd w:val="clear" w:color="auto" w:fill="FFFFFF"/>
        </w:rPr>
        <w:t xml:space="preserve"> The ban is set up for a long time starting on 1 January 2020. Portland (Oregon) is thinking about a ban for 2020. In this way, it could be the first city to extend it to private stores and aircrafts. </w:t>
      </w:r>
    </w:p>
    <w:p w14:paraId="6D2ABFF6" w14:textId="77777777" w:rsidR="0086206C" w:rsidRDefault="0086206C" w:rsidP="00E026E2">
      <w:pPr>
        <w:spacing w:line="360" w:lineRule="auto"/>
        <w:jc w:val="both"/>
        <w:rPr>
          <w:b/>
          <w:bCs/>
        </w:rPr>
      </w:pPr>
    </w:p>
    <w:p w14:paraId="3077C25C" w14:textId="2483BE5D" w:rsidR="003F2E8B" w:rsidRPr="00E026E2" w:rsidRDefault="003F2E8B" w:rsidP="00E026E2">
      <w:pPr>
        <w:spacing w:line="360" w:lineRule="auto"/>
        <w:jc w:val="both"/>
      </w:pPr>
      <w:r w:rsidRPr="00E026E2">
        <w:rPr>
          <w:b/>
          <w:bCs/>
        </w:rPr>
        <w:t>Conclusion</w:t>
      </w:r>
    </w:p>
    <w:p w14:paraId="4123959E" w14:textId="779EEC2F" w:rsidR="00E225D8" w:rsidRDefault="003F2E8B" w:rsidP="00B4268A">
      <w:pPr>
        <w:spacing w:line="360" w:lineRule="auto"/>
        <w:jc w:val="both"/>
        <w:rPr>
          <w:shd w:val="clear" w:color="auto" w:fill="FFFFFF"/>
          <w:lang w:val="de-DE"/>
        </w:rPr>
      </w:pPr>
      <w:r>
        <w:t>The omnipresent character of the FRT-AI along with the state of the art of technology renders the present as the ‘Era of Facial Recognition’.</w:t>
      </w:r>
      <w:r>
        <w:rPr>
          <w:rStyle w:val="Refdenotaalpie"/>
        </w:rPr>
        <w:footnoteReference w:id="80"/>
      </w:r>
      <w:r>
        <w:t xml:space="preserve"> However, both the legal challenges and possible solutions which FRT-AI entails (some of them presented in the second part of this article), need further development, as demonstrated above. After all, as some scholars have argued, the success in taking ‘full advantage of the synergy between AI and big data will depend in part on our ability to manage and preserve privacy’.</w:t>
      </w:r>
      <w:r w:rsidR="009A7B14">
        <w:t xml:space="preserve"> </w:t>
      </w:r>
      <w:r w:rsidR="00750C68">
        <w:t>(</w:t>
      </w:r>
      <w:r w:rsidR="009A7B14" w:rsidRPr="00DD7203">
        <w:rPr>
          <w:shd w:val="clear" w:color="auto" w:fill="FFFFFF"/>
          <w:lang w:val="de-DE"/>
        </w:rPr>
        <w:t xml:space="preserve">Russell, Dewey, </w:t>
      </w:r>
      <w:r w:rsidR="00750C68">
        <w:rPr>
          <w:shd w:val="clear" w:color="auto" w:fill="FFFFFF"/>
          <w:lang w:val="de-DE"/>
        </w:rPr>
        <w:t xml:space="preserve">et al. </w:t>
      </w:r>
      <w:r w:rsidR="009A7B14" w:rsidRPr="00DD7203">
        <w:rPr>
          <w:shd w:val="clear" w:color="auto" w:fill="FFFFFF"/>
          <w:lang w:val="de-DE"/>
        </w:rPr>
        <w:t>2015)</w:t>
      </w:r>
    </w:p>
    <w:p w14:paraId="26D7C9AD" w14:textId="3F60BC67" w:rsidR="00E026E2" w:rsidRDefault="00E026E2" w:rsidP="00B4268A">
      <w:pPr>
        <w:spacing w:line="360" w:lineRule="auto"/>
        <w:jc w:val="both"/>
        <w:rPr>
          <w:shd w:val="clear" w:color="auto" w:fill="FFFFFF"/>
          <w:lang w:val="de-DE"/>
        </w:rPr>
      </w:pPr>
    </w:p>
    <w:p w14:paraId="7D288AFD" w14:textId="1769085E" w:rsidR="00E026E2" w:rsidRDefault="00E026E2" w:rsidP="00B4268A">
      <w:pPr>
        <w:spacing w:line="360" w:lineRule="auto"/>
        <w:jc w:val="both"/>
        <w:rPr>
          <w:shd w:val="clear" w:color="auto" w:fill="FFFFFF"/>
          <w:lang w:val="de-DE"/>
        </w:rPr>
      </w:pPr>
    </w:p>
    <w:p w14:paraId="3372CCC0" w14:textId="5625A9FB" w:rsidR="00E026E2" w:rsidRDefault="00E026E2" w:rsidP="00B4268A">
      <w:pPr>
        <w:spacing w:line="360" w:lineRule="auto"/>
        <w:jc w:val="both"/>
        <w:rPr>
          <w:shd w:val="clear" w:color="auto" w:fill="FFFFFF"/>
          <w:lang w:val="de-DE"/>
        </w:rPr>
      </w:pPr>
    </w:p>
    <w:p w14:paraId="7DF6DFEA" w14:textId="02F91D21" w:rsidR="00E026E2" w:rsidRDefault="00E026E2" w:rsidP="00B4268A">
      <w:pPr>
        <w:spacing w:line="360" w:lineRule="auto"/>
        <w:jc w:val="both"/>
        <w:rPr>
          <w:shd w:val="clear" w:color="auto" w:fill="FFFFFF"/>
          <w:lang w:val="de-DE"/>
        </w:rPr>
      </w:pPr>
    </w:p>
    <w:p w14:paraId="29DF3E0D" w14:textId="745C4201" w:rsidR="00E026E2" w:rsidRDefault="00E026E2" w:rsidP="00B4268A">
      <w:pPr>
        <w:spacing w:line="360" w:lineRule="auto"/>
        <w:jc w:val="both"/>
        <w:rPr>
          <w:shd w:val="clear" w:color="auto" w:fill="FFFFFF"/>
          <w:lang w:val="de-DE"/>
        </w:rPr>
      </w:pPr>
    </w:p>
    <w:p w14:paraId="125D0392" w14:textId="155EBE66" w:rsidR="00E026E2" w:rsidRDefault="00E026E2" w:rsidP="00B4268A">
      <w:pPr>
        <w:spacing w:line="360" w:lineRule="auto"/>
        <w:jc w:val="both"/>
        <w:rPr>
          <w:shd w:val="clear" w:color="auto" w:fill="FFFFFF"/>
          <w:lang w:val="de-DE"/>
        </w:rPr>
      </w:pPr>
    </w:p>
    <w:p w14:paraId="6EBB1808" w14:textId="1A95E7F7" w:rsidR="00E026E2" w:rsidRDefault="00E026E2" w:rsidP="00B4268A">
      <w:pPr>
        <w:spacing w:line="360" w:lineRule="auto"/>
        <w:jc w:val="both"/>
        <w:rPr>
          <w:shd w:val="clear" w:color="auto" w:fill="FFFFFF"/>
          <w:lang w:val="de-DE"/>
        </w:rPr>
      </w:pPr>
    </w:p>
    <w:p w14:paraId="03F0A85B" w14:textId="42775252" w:rsidR="00E026E2" w:rsidRDefault="00E026E2" w:rsidP="00B4268A">
      <w:pPr>
        <w:spacing w:line="360" w:lineRule="auto"/>
        <w:jc w:val="both"/>
        <w:rPr>
          <w:shd w:val="clear" w:color="auto" w:fill="FFFFFF"/>
          <w:lang w:val="de-DE"/>
        </w:rPr>
      </w:pPr>
    </w:p>
    <w:p w14:paraId="769DF485" w14:textId="24BA7F44" w:rsidR="00E026E2" w:rsidRDefault="00E026E2" w:rsidP="00B4268A">
      <w:pPr>
        <w:spacing w:line="360" w:lineRule="auto"/>
        <w:jc w:val="both"/>
        <w:rPr>
          <w:shd w:val="clear" w:color="auto" w:fill="FFFFFF"/>
          <w:lang w:val="de-DE"/>
        </w:rPr>
      </w:pPr>
    </w:p>
    <w:p w14:paraId="21B10B61" w14:textId="200E3A25" w:rsidR="00E026E2" w:rsidRDefault="00E026E2" w:rsidP="00B4268A">
      <w:pPr>
        <w:spacing w:line="360" w:lineRule="auto"/>
        <w:jc w:val="both"/>
        <w:rPr>
          <w:shd w:val="clear" w:color="auto" w:fill="FFFFFF"/>
          <w:lang w:val="de-DE"/>
        </w:rPr>
      </w:pPr>
    </w:p>
    <w:p w14:paraId="5CD94FDE" w14:textId="17D9DADB" w:rsidR="00E026E2" w:rsidRDefault="00E026E2" w:rsidP="00B4268A">
      <w:pPr>
        <w:spacing w:line="360" w:lineRule="auto"/>
        <w:jc w:val="both"/>
        <w:rPr>
          <w:shd w:val="clear" w:color="auto" w:fill="FFFFFF"/>
          <w:lang w:val="de-DE"/>
        </w:rPr>
      </w:pPr>
    </w:p>
    <w:p w14:paraId="1BADC9EB" w14:textId="75280559" w:rsidR="00E026E2" w:rsidRDefault="00E026E2" w:rsidP="00B4268A">
      <w:pPr>
        <w:spacing w:line="360" w:lineRule="auto"/>
        <w:jc w:val="both"/>
        <w:rPr>
          <w:shd w:val="clear" w:color="auto" w:fill="FFFFFF"/>
          <w:lang w:val="de-DE"/>
        </w:rPr>
      </w:pPr>
    </w:p>
    <w:p w14:paraId="1B622464" w14:textId="1F1AC9F3" w:rsidR="00E026E2" w:rsidRDefault="00E026E2" w:rsidP="00B4268A">
      <w:pPr>
        <w:spacing w:line="360" w:lineRule="auto"/>
        <w:jc w:val="both"/>
        <w:rPr>
          <w:shd w:val="clear" w:color="auto" w:fill="FFFFFF"/>
          <w:lang w:val="de-DE"/>
        </w:rPr>
      </w:pPr>
    </w:p>
    <w:p w14:paraId="61C23CE7" w14:textId="73A74AA6" w:rsidR="00E026E2" w:rsidRDefault="00E026E2" w:rsidP="00B4268A">
      <w:pPr>
        <w:spacing w:line="360" w:lineRule="auto"/>
        <w:jc w:val="both"/>
        <w:rPr>
          <w:shd w:val="clear" w:color="auto" w:fill="FFFFFF"/>
          <w:lang w:val="de-DE"/>
        </w:rPr>
      </w:pPr>
    </w:p>
    <w:p w14:paraId="73E7AF3F" w14:textId="1A3B084A" w:rsidR="00E026E2" w:rsidRDefault="00E026E2" w:rsidP="00B4268A">
      <w:pPr>
        <w:spacing w:line="360" w:lineRule="auto"/>
        <w:jc w:val="both"/>
        <w:rPr>
          <w:shd w:val="clear" w:color="auto" w:fill="FFFFFF"/>
          <w:lang w:val="de-DE"/>
        </w:rPr>
      </w:pPr>
    </w:p>
    <w:p w14:paraId="65B9B0DC" w14:textId="1FC2C7AF" w:rsidR="00E026E2" w:rsidRDefault="00E026E2" w:rsidP="00B4268A">
      <w:pPr>
        <w:spacing w:line="360" w:lineRule="auto"/>
        <w:jc w:val="both"/>
        <w:rPr>
          <w:shd w:val="clear" w:color="auto" w:fill="FFFFFF"/>
          <w:lang w:val="de-DE"/>
        </w:rPr>
      </w:pPr>
    </w:p>
    <w:p w14:paraId="0E733D4C" w14:textId="76035357" w:rsidR="00E026E2" w:rsidRDefault="00E026E2" w:rsidP="00B4268A">
      <w:pPr>
        <w:spacing w:line="360" w:lineRule="auto"/>
        <w:jc w:val="both"/>
        <w:rPr>
          <w:shd w:val="clear" w:color="auto" w:fill="FFFFFF"/>
          <w:lang w:val="de-DE"/>
        </w:rPr>
      </w:pPr>
    </w:p>
    <w:p w14:paraId="78A11C6D" w14:textId="57CC6A1F" w:rsidR="00E026E2" w:rsidRDefault="00E026E2" w:rsidP="00B4268A">
      <w:pPr>
        <w:spacing w:line="360" w:lineRule="auto"/>
        <w:jc w:val="both"/>
        <w:rPr>
          <w:shd w:val="clear" w:color="auto" w:fill="FFFFFF"/>
          <w:lang w:val="de-DE"/>
        </w:rPr>
      </w:pPr>
    </w:p>
    <w:p w14:paraId="58101016" w14:textId="7B45FA40" w:rsidR="00E026E2" w:rsidRDefault="00E026E2" w:rsidP="00B4268A">
      <w:pPr>
        <w:spacing w:line="360" w:lineRule="auto"/>
        <w:jc w:val="both"/>
        <w:rPr>
          <w:shd w:val="clear" w:color="auto" w:fill="FFFFFF"/>
          <w:lang w:val="de-DE"/>
        </w:rPr>
      </w:pPr>
    </w:p>
    <w:p w14:paraId="43C1CC98" w14:textId="7CD2C140" w:rsidR="00E026E2" w:rsidRDefault="00E026E2" w:rsidP="00B4268A">
      <w:pPr>
        <w:spacing w:line="360" w:lineRule="auto"/>
        <w:jc w:val="both"/>
        <w:rPr>
          <w:shd w:val="clear" w:color="auto" w:fill="FFFFFF"/>
          <w:lang w:val="de-DE"/>
        </w:rPr>
      </w:pPr>
    </w:p>
    <w:p w14:paraId="65773AAD" w14:textId="77777777" w:rsidR="00E026E2" w:rsidRPr="00E026E2" w:rsidRDefault="00E026E2" w:rsidP="00E026E2">
      <w:pPr>
        <w:pStyle w:val="Ttulo1"/>
      </w:pPr>
      <w:r w:rsidRPr="00E026E2">
        <w:t>References list</w:t>
      </w:r>
    </w:p>
    <w:p w14:paraId="2A12EFFE" w14:textId="77777777" w:rsidR="00E026E2" w:rsidRPr="00E72FC1" w:rsidRDefault="00E026E2" w:rsidP="005E0A3C">
      <w:pPr>
        <w:pStyle w:val="Textonotapie"/>
      </w:pPr>
      <w:r w:rsidRPr="00E72FC1">
        <w:t>‘</w:t>
      </w:r>
      <w:r w:rsidRPr="00E72FC1">
        <w:rPr>
          <w:i/>
          <w:iCs/>
        </w:rPr>
        <w:t>A.I. Among Us: Agency in a World of Cameras and Recognition Systems</w:t>
      </w:r>
      <w:r w:rsidRPr="00E72FC1">
        <w:t>’ 2019 EPIC Proceedings pp 38-64, ISSN 1559-8918, &lt;</w:t>
      </w:r>
      <w:r w:rsidRPr="00E72FC1">
        <w:rPr>
          <w:u w:val="single"/>
        </w:rPr>
        <w:t>http://www.epicpeople.org/epic&gt;</w:t>
      </w:r>
    </w:p>
    <w:p w14:paraId="338DA164" w14:textId="77777777" w:rsidR="00E026E2" w:rsidRPr="00E72FC1" w:rsidRDefault="00E026E2" w:rsidP="005E0A3C">
      <w:pPr>
        <w:pStyle w:val="Textonotapie"/>
      </w:pPr>
      <w:r w:rsidRPr="00E72FC1">
        <w:t>Andrew, J. (2018). Location data and human mobility: an evaluation of a dissonance that frames data protection and privacy rights. EUI doctoral thesis (2018)</w:t>
      </w:r>
    </w:p>
    <w:p w14:paraId="5B75430E" w14:textId="77777777" w:rsidR="00E026E2" w:rsidRPr="00E72FC1" w:rsidRDefault="00E026E2" w:rsidP="005E0A3C">
      <w:pPr>
        <w:pStyle w:val="Textonotapie"/>
      </w:pPr>
      <w:r w:rsidRPr="00E72FC1">
        <w:t xml:space="preserve">Article 29 Data Protection Working Party Opinion. 2012. </w:t>
      </w:r>
      <w:r w:rsidRPr="00E72FC1">
        <w:rPr>
          <w:i/>
        </w:rPr>
        <w:t>Opinion 02/2012 on facial recognition in online and mobile services</w:t>
      </w:r>
      <w:r w:rsidRPr="00E72FC1">
        <w:t xml:space="preserve"> </w:t>
      </w:r>
      <w:r w:rsidRPr="00E72FC1">
        <w:rPr>
          <w:shd w:val="clear" w:color="auto" w:fill="FFFFFF"/>
        </w:rPr>
        <w:t>WP 192 (22.03.2012)</w:t>
      </w:r>
    </w:p>
    <w:p w14:paraId="3C9A6619" w14:textId="77777777" w:rsidR="00E026E2" w:rsidRPr="00E72FC1" w:rsidRDefault="00E026E2" w:rsidP="005E0A3C">
      <w:pPr>
        <w:pStyle w:val="Textonotapie"/>
      </w:pPr>
      <w:r w:rsidRPr="00E72FC1">
        <w:t xml:space="preserve">Bal G., </w:t>
      </w:r>
      <w:r w:rsidRPr="00E72FC1">
        <w:rPr>
          <w:i/>
          <w:iCs/>
        </w:rPr>
        <w:t>Revealing Privacy-Impacting Behavior Patterns of Smartphone Applications</w:t>
      </w:r>
      <w:r w:rsidRPr="00E72FC1">
        <w:t>, 2012, Available at: http://mostconf.org/2012/papers/15.pdf, pp.1-2.</w:t>
      </w:r>
    </w:p>
    <w:p w14:paraId="0A4BAA26" w14:textId="26E22EF2" w:rsidR="00E026E2" w:rsidRPr="00E72FC1" w:rsidRDefault="00E026E2" w:rsidP="005E0A3C">
      <w:pPr>
        <w:pStyle w:val="Textonotapie"/>
      </w:pPr>
      <w:bookmarkStart w:id="4" w:name="_Hlk40470037"/>
      <w:r w:rsidRPr="00E72FC1">
        <w:t xml:space="preserve">Bendel, O. 2018. </w:t>
      </w:r>
      <w:r w:rsidRPr="00E72FC1">
        <w:rPr>
          <w:i/>
          <w:iCs/>
        </w:rPr>
        <w:t>The Uncanny Return of Physiognomy.</w:t>
      </w:r>
      <w:r w:rsidRPr="00E72FC1">
        <w:t xml:space="preserve"> In 2018 AAAI Spring Symposium Series.</w:t>
      </w:r>
    </w:p>
    <w:p w14:paraId="18D067D6" w14:textId="13BFB077" w:rsidR="00E53429" w:rsidRPr="00E72FC1" w:rsidRDefault="00E53429" w:rsidP="005E0A3C">
      <w:pPr>
        <w:pStyle w:val="Textonotapie"/>
      </w:pPr>
      <w:r w:rsidRPr="00E72FC1">
        <w:t>Bovens, M. 2007. Analysing and assessing accountability: A conceptual framework 1. European law journal, 13(4), 447-468.</w:t>
      </w:r>
    </w:p>
    <w:p w14:paraId="13CB17D9" w14:textId="77777777" w:rsidR="00E026E2" w:rsidRPr="00E72FC1" w:rsidRDefault="00E026E2" w:rsidP="005E0A3C">
      <w:pPr>
        <w:pStyle w:val="Textonotapie"/>
      </w:pPr>
      <w:bookmarkStart w:id="5" w:name="_Hlk40470297"/>
      <w:r w:rsidRPr="00E72FC1">
        <w:t xml:space="preserve">Buolamwini, J., and Gebru, T. 2018. </w:t>
      </w:r>
      <w:r w:rsidRPr="00E72FC1">
        <w:rPr>
          <w:i/>
          <w:iCs/>
        </w:rPr>
        <w:t>Gender Shades: Intersectional Accuracy Disparities in Commercial Gender Classification</w:t>
      </w:r>
      <w:r w:rsidRPr="00E72FC1">
        <w:t>, Proceedings of Machine Learning Research 81:1–15, 2018, Conference on Fairness, Accountability, and Transparency.</w:t>
      </w:r>
      <w:bookmarkEnd w:id="5"/>
    </w:p>
    <w:p w14:paraId="715EA177" w14:textId="77777777" w:rsidR="00E026E2" w:rsidRPr="00E72FC1" w:rsidRDefault="00E026E2" w:rsidP="005E0A3C">
      <w:pPr>
        <w:pStyle w:val="Textonotapie"/>
      </w:pPr>
      <w:r w:rsidRPr="00E72FC1">
        <w:lastRenderedPageBreak/>
        <w:t xml:space="preserve">Chinoy, S. 2019. </w:t>
      </w:r>
      <w:r w:rsidRPr="00E72FC1">
        <w:rPr>
          <w:i/>
          <w:iCs/>
        </w:rPr>
        <w:t>The racist history behind facial recognition.</w:t>
      </w:r>
      <w:r w:rsidRPr="00E72FC1">
        <w:t> The New York Times [Internet], 883.</w:t>
      </w:r>
    </w:p>
    <w:p w14:paraId="566556ED" w14:textId="2483710D" w:rsidR="00E026E2" w:rsidRPr="00E72FC1" w:rsidRDefault="00E026E2" w:rsidP="005E0A3C">
      <w:pPr>
        <w:pStyle w:val="Textonotapie"/>
        <w:rPr>
          <w:i/>
          <w:lang w:val="fr-FR"/>
        </w:rPr>
      </w:pPr>
      <w:r w:rsidRPr="00E72FC1">
        <w:rPr>
          <w:shd w:val="clear" w:color="auto" w:fill="FFFFFF"/>
          <w:lang w:val="fr-FR"/>
        </w:rPr>
        <w:t xml:space="preserve">Commission nationale de l’informatique et des libertés (CNIL) 2019 </w:t>
      </w:r>
      <w:r w:rsidRPr="00E72FC1">
        <w:rPr>
          <w:i/>
          <w:lang w:val="fr-FR"/>
        </w:rPr>
        <w:t>‘Reconnaissance faciale : pour un débat à la hauteur des enjeux’</w:t>
      </w:r>
    </w:p>
    <w:p w14:paraId="228E6779" w14:textId="486BC44A" w:rsidR="00B732E2" w:rsidRPr="00E72FC1" w:rsidRDefault="00B732E2" w:rsidP="005E0A3C">
      <w:pPr>
        <w:pStyle w:val="Textonotapie"/>
        <w:rPr>
          <w:shd w:val="clear" w:color="auto" w:fill="FFFFFF"/>
          <w:lang w:val="fr-FR"/>
        </w:rPr>
      </w:pPr>
      <w:r w:rsidRPr="00E72FC1">
        <w:rPr>
          <w:shd w:val="clear" w:color="auto" w:fill="FFFFFF"/>
        </w:rPr>
        <w:t xml:space="preserve">Curtin, D., &amp; Nollkaemper, A. 2005. </w:t>
      </w:r>
      <w:r w:rsidRPr="00E72FC1">
        <w:rPr>
          <w:i/>
          <w:iCs/>
          <w:shd w:val="clear" w:color="auto" w:fill="FFFFFF"/>
        </w:rPr>
        <w:t>Conceptualizing accountability in international and European law.</w:t>
      </w:r>
      <w:r w:rsidRPr="00E72FC1">
        <w:rPr>
          <w:shd w:val="clear" w:color="auto" w:fill="FFFFFF"/>
        </w:rPr>
        <w:t xml:space="preserve"> </w:t>
      </w:r>
      <w:r w:rsidRPr="00E72FC1">
        <w:rPr>
          <w:shd w:val="clear" w:color="auto" w:fill="FFFFFF"/>
          <w:lang w:val="fr-FR"/>
        </w:rPr>
        <w:t>Netherlands Yearbook of International Law, 36, 3-20. doi:10.1017/S0167676805000036</w:t>
      </w:r>
    </w:p>
    <w:p w14:paraId="08C4B651" w14:textId="77777777" w:rsidR="00E026E2" w:rsidRPr="00E72FC1" w:rsidRDefault="00E026E2" w:rsidP="005E0A3C">
      <w:pPr>
        <w:pStyle w:val="Textonotapie"/>
      </w:pPr>
      <w:r w:rsidRPr="00E72FC1">
        <w:t xml:space="preserve">Doshi-Velez, F., Kortz, M., Budish, R., Bavitz, C., Gershman, S., O'Brien, D., &amp; Wood, A. (2017). </w:t>
      </w:r>
      <w:r w:rsidRPr="00E72FC1">
        <w:rPr>
          <w:i/>
          <w:iCs/>
        </w:rPr>
        <w:t>Accountability of AI under the law: The role of explanation</w:t>
      </w:r>
      <w:r w:rsidRPr="00E72FC1">
        <w:t>. arXiv preprint arXiv:1711.01134.</w:t>
      </w:r>
    </w:p>
    <w:p w14:paraId="7D92EA55" w14:textId="77777777" w:rsidR="00E026E2" w:rsidRPr="00E72FC1" w:rsidRDefault="00E026E2" w:rsidP="005E0A3C">
      <w:pPr>
        <w:pStyle w:val="Textonotapie"/>
      </w:pPr>
      <w:r w:rsidRPr="00E72FC1">
        <w:rPr>
          <w:color w:val="000000"/>
        </w:rPr>
        <w:t xml:space="preserve">ENISA. 2020. </w:t>
      </w:r>
      <w:r w:rsidRPr="00E72FC1">
        <w:t>eIDAS COMPLIANT eID SOLUTIONS Security Considerations and the Role of ENISA</w:t>
      </w:r>
    </w:p>
    <w:p w14:paraId="0834C5D4" w14:textId="77777777" w:rsidR="00E026E2" w:rsidRPr="00E72FC1" w:rsidRDefault="00E026E2" w:rsidP="005E0A3C">
      <w:pPr>
        <w:pStyle w:val="Textonotapie"/>
      </w:pPr>
      <w:r w:rsidRPr="00E72FC1">
        <w:t>European Commission. 2018. Smart lie-detection system to tighten EU’s busy borders.</w:t>
      </w:r>
    </w:p>
    <w:p w14:paraId="6B960EBC" w14:textId="77777777" w:rsidR="00E026E2" w:rsidRPr="00E72FC1" w:rsidRDefault="00E026E2" w:rsidP="005E0A3C">
      <w:pPr>
        <w:pStyle w:val="Textonotapie"/>
      </w:pPr>
      <w:r w:rsidRPr="00E72FC1">
        <w:rPr>
          <w:rStyle w:val="Refdenotaalpie"/>
          <w:sz w:val="24"/>
          <w:szCs w:val="24"/>
          <w:vertAlign w:val="baseline"/>
        </w:rPr>
        <w:t xml:space="preserve">European Commission, Independent High-Level Expert Group on Artificial Intelligence. 2019. </w:t>
      </w:r>
      <w:r w:rsidRPr="00E72FC1">
        <w:rPr>
          <w:rStyle w:val="Refdenotaalpie"/>
          <w:i/>
          <w:iCs/>
          <w:sz w:val="24"/>
          <w:szCs w:val="24"/>
          <w:vertAlign w:val="baseline"/>
        </w:rPr>
        <w:t>Ethics guidelines for Trustworthy on AI</w:t>
      </w:r>
      <w:r w:rsidRPr="00E72FC1">
        <w:rPr>
          <w:rStyle w:val="Refdenotaalpie"/>
          <w:sz w:val="24"/>
          <w:szCs w:val="24"/>
          <w:vertAlign w:val="baseline"/>
        </w:rPr>
        <w:t>, April 2019, pp. 33-34</w:t>
      </w:r>
    </w:p>
    <w:p w14:paraId="76C02F64" w14:textId="77777777" w:rsidR="00E026E2" w:rsidRPr="00E72FC1" w:rsidRDefault="00E026E2" w:rsidP="005E0A3C">
      <w:pPr>
        <w:pStyle w:val="Textonotapie"/>
        <w:rPr>
          <w:rStyle w:val="Refdenotaalpie"/>
          <w:sz w:val="24"/>
          <w:szCs w:val="24"/>
          <w:vertAlign w:val="baseline"/>
        </w:rPr>
      </w:pPr>
      <w:r w:rsidRPr="00E72FC1">
        <w:rPr>
          <w:rStyle w:val="Refdenotaalpie"/>
          <w:color w:val="222222"/>
          <w:sz w:val="24"/>
          <w:szCs w:val="24"/>
          <w:vertAlign w:val="baseline"/>
        </w:rPr>
        <w:t xml:space="preserve">European Commission, Independent High-Level Expert Group on Artificial Intelligence. 2019. </w:t>
      </w:r>
      <w:r w:rsidRPr="00E72FC1">
        <w:rPr>
          <w:rStyle w:val="Refdenotaalpie"/>
          <w:sz w:val="24"/>
          <w:szCs w:val="24"/>
          <w:vertAlign w:val="baseline"/>
        </w:rPr>
        <w:t>Policy and investment recommendations For Trustworthy AI.</w:t>
      </w:r>
    </w:p>
    <w:p w14:paraId="45E6FB26" w14:textId="77777777" w:rsidR="00E026E2" w:rsidRPr="00E72FC1" w:rsidRDefault="00E026E2" w:rsidP="005E0A3C">
      <w:pPr>
        <w:pStyle w:val="Textonotapie"/>
      </w:pPr>
      <w:r w:rsidRPr="00E72FC1">
        <w:t xml:space="preserve">European Data Protection Board. 2020. </w:t>
      </w:r>
      <w:r w:rsidRPr="00E72FC1">
        <w:rPr>
          <w:i/>
          <w:iCs/>
        </w:rPr>
        <w:t xml:space="preserve">Guidelines 3/2019 on processing of personal data through video devices, </w:t>
      </w:r>
      <w:r w:rsidRPr="00E72FC1">
        <w:t xml:space="preserve">version 2.0 adopted on 29 </w:t>
      </w:r>
      <w:r w:rsidRPr="00E72FC1">
        <w:rPr>
          <w:shd w:val="clear" w:color="auto" w:fill="FFFFFF"/>
        </w:rPr>
        <w:t>January 2020</w:t>
      </w:r>
      <w:r w:rsidRPr="00E72FC1">
        <w:rPr>
          <w:i/>
          <w:iCs/>
          <w:shd w:val="clear" w:color="auto" w:fill="FFFFFF"/>
        </w:rPr>
        <w:t>.</w:t>
      </w:r>
    </w:p>
    <w:p w14:paraId="493DC954" w14:textId="77777777" w:rsidR="00E026E2" w:rsidRPr="00E72FC1" w:rsidRDefault="00E026E2" w:rsidP="005E0A3C">
      <w:pPr>
        <w:pStyle w:val="Textonotapie"/>
      </w:pPr>
      <w:r w:rsidRPr="00E72FC1">
        <w:t>FRA. 2018. #BigData. Discrimination in data-supported decision making, Luxembourg, Publications Office.</w:t>
      </w:r>
    </w:p>
    <w:p w14:paraId="62618443" w14:textId="77777777" w:rsidR="00E026E2" w:rsidRPr="00E72FC1" w:rsidRDefault="00E026E2" w:rsidP="005E0A3C">
      <w:pPr>
        <w:pStyle w:val="Textonotapie"/>
      </w:pPr>
      <w:r w:rsidRPr="00E72FC1">
        <w:t>FRA. 2018. Under watchful eyes: biometrics, EU IT systems and fundamental rights, Luxembourg, Publications Office.</w:t>
      </w:r>
    </w:p>
    <w:p w14:paraId="521BFBFE" w14:textId="77777777" w:rsidR="00E026E2" w:rsidRPr="00E72FC1" w:rsidRDefault="00E026E2" w:rsidP="005E0A3C">
      <w:pPr>
        <w:pStyle w:val="Textonotapie"/>
      </w:pPr>
      <w:r w:rsidRPr="00E72FC1">
        <w:t>FRA. 2018. Preventing unlawful profiling today and in the future: a guide, Luxembourg, Publications Office.</w:t>
      </w:r>
    </w:p>
    <w:p w14:paraId="169F3091" w14:textId="77777777" w:rsidR="00E026E2" w:rsidRPr="00E72FC1" w:rsidRDefault="00E026E2" w:rsidP="005E0A3C">
      <w:pPr>
        <w:pStyle w:val="Textonotapie"/>
      </w:pPr>
      <w:r w:rsidRPr="00E72FC1">
        <w:t>FRA. 2019. Data quality and artificial intelligence – mitigating bias and error to protect fundamental rights, Luxembourg, Publications Office.</w:t>
      </w:r>
    </w:p>
    <w:p w14:paraId="7416F6BA" w14:textId="5A0B1613" w:rsidR="00E026E2" w:rsidRPr="00E72FC1" w:rsidRDefault="00E026E2" w:rsidP="005E0A3C">
      <w:pPr>
        <w:pStyle w:val="Textonotapie"/>
      </w:pPr>
      <w:r w:rsidRPr="00E72FC1">
        <w:t>FRA. 2020. Facial recognition technology: fundamental rights considerations in the context of law enforcement</w:t>
      </w:r>
      <w:bookmarkEnd w:id="4"/>
    </w:p>
    <w:p w14:paraId="6AAFE61E" w14:textId="1CC91453" w:rsidR="00E53429" w:rsidRPr="00E72FC1" w:rsidRDefault="00E53429" w:rsidP="005E0A3C">
      <w:pPr>
        <w:pStyle w:val="Textonotapie"/>
      </w:pPr>
      <w:r w:rsidRPr="00E72FC1">
        <w:t xml:space="preserve">Gardner, J. 2003. </w:t>
      </w:r>
      <w:r w:rsidRPr="00E72FC1">
        <w:rPr>
          <w:i/>
        </w:rPr>
        <w:t>The Mark of Responsibility.</w:t>
      </w:r>
      <w:r w:rsidRPr="00E72FC1">
        <w:t xml:space="preserve"> Oxford Journal of Legal Studies, 23(2), 157-171.</w:t>
      </w:r>
    </w:p>
    <w:p w14:paraId="3004256C" w14:textId="7D648DA1" w:rsidR="00E026E2" w:rsidRPr="00E72FC1" w:rsidRDefault="00E026E2" w:rsidP="005E0A3C">
      <w:pPr>
        <w:pStyle w:val="Textonotapie"/>
      </w:pPr>
      <w:r w:rsidRPr="00F1200D">
        <w:rPr>
          <w:lang w:val="es-ES"/>
        </w:rPr>
        <w:t xml:space="preserve">Gomez-Barrero M., et al. 2018. </w:t>
      </w:r>
      <w:r w:rsidRPr="00E72FC1">
        <w:t>‘</w:t>
      </w:r>
      <w:r w:rsidRPr="00E72FC1">
        <w:rPr>
          <w:i/>
          <w:iCs/>
        </w:rPr>
        <w:t>General Framework to Evlauate Unlinkability in Biometric Template Protection Systems</w:t>
      </w:r>
      <w:r w:rsidRPr="00E72FC1">
        <w:t>’, IEEE Transactions on Information Forensics and Security, vol. 13(6), pp. 1406-1420.</w:t>
      </w:r>
    </w:p>
    <w:p w14:paraId="159A5AE4" w14:textId="4A063702" w:rsidR="00E53429" w:rsidRPr="00E72FC1" w:rsidRDefault="00E53429" w:rsidP="005E0A3C">
      <w:pPr>
        <w:pStyle w:val="Textonotapie"/>
      </w:pPr>
      <w:r w:rsidRPr="00E72FC1">
        <w:t xml:space="preserve">Grant, R. W., &amp; Keohane, R. O. 2005. </w:t>
      </w:r>
      <w:r w:rsidRPr="00E72FC1">
        <w:rPr>
          <w:i/>
        </w:rPr>
        <w:t>Accountability and abuses of power in world politics.</w:t>
      </w:r>
      <w:r w:rsidRPr="00E72FC1">
        <w:t xml:space="preserve"> American political science review, 99(1), 29-43.</w:t>
      </w:r>
    </w:p>
    <w:p w14:paraId="2A1C70C9" w14:textId="77777777" w:rsidR="00E026E2" w:rsidRPr="00E72FC1" w:rsidRDefault="00E026E2" w:rsidP="005E0A3C">
      <w:pPr>
        <w:pStyle w:val="Textonotapie"/>
      </w:pPr>
      <w:r w:rsidRPr="00E72FC1">
        <w:t>Grother, P., Ngan, M., and Hanaoka, K. 2018. </w:t>
      </w:r>
      <w:r w:rsidRPr="00E72FC1">
        <w:rPr>
          <w:i/>
          <w:iCs/>
        </w:rPr>
        <w:t>Ongoing face recognition vendor test (FRVT) part 2: identification</w:t>
      </w:r>
      <w:r w:rsidRPr="00E72FC1">
        <w:t> (No. NIST Interagency/Internal Report (NISTIR)-8238).</w:t>
      </w:r>
    </w:p>
    <w:p w14:paraId="201F8C9D" w14:textId="77777777" w:rsidR="00E026E2" w:rsidRPr="00E72FC1" w:rsidRDefault="00E026E2" w:rsidP="005E0A3C">
      <w:pPr>
        <w:pStyle w:val="Textonotapie"/>
      </w:pPr>
      <w:r w:rsidRPr="00E72FC1">
        <w:t xml:space="preserve">Hamann, K., &amp; Smith, R. 2019. </w:t>
      </w:r>
      <w:r w:rsidRPr="00E72FC1">
        <w:rPr>
          <w:i/>
          <w:iCs/>
        </w:rPr>
        <w:t>Facial Recognition Technology: Where Will It Take Us?</w:t>
      </w:r>
      <w:r w:rsidRPr="00E72FC1">
        <w:t> American Bar Association Available at: https://www. americanbar. org/groups/criminal_justice/publications/criminal-justice-magazine/2019/spring/facial-recognition-technology/.</w:t>
      </w:r>
    </w:p>
    <w:p w14:paraId="75622259" w14:textId="77777777" w:rsidR="00E026E2" w:rsidRPr="00E72FC1" w:rsidRDefault="00E026E2" w:rsidP="005E0A3C">
      <w:pPr>
        <w:pStyle w:val="Textonotapie"/>
      </w:pPr>
      <w:r w:rsidRPr="00E72FC1">
        <w:t>Introna, L., &amp; Nissenbaum, H. 2010. Facial recognition technology a survey of policy and implementation issues.</w:t>
      </w:r>
    </w:p>
    <w:p w14:paraId="50CC9CD4" w14:textId="77777777" w:rsidR="00E026E2" w:rsidRPr="00E72FC1" w:rsidRDefault="00E026E2" w:rsidP="005E0A3C">
      <w:pPr>
        <w:pStyle w:val="Textonotapie"/>
      </w:pPr>
      <w:r w:rsidRPr="00E72FC1">
        <w:rPr>
          <w:shd w:val="clear" w:color="auto" w:fill="FFFFFF"/>
        </w:rPr>
        <w:t>Jain, A. K., Ross, A., &amp; Prabhakar, S.</w:t>
      </w:r>
      <w:r w:rsidRPr="00E72FC1">
        <w:t xml:space="preserve"> </w:t>
      </w:r>
      <w:r w:rsidRPr="00E72FC1">
        <w:rPr>
          <w:shd w:val="clear" w:color="auto" w:fill="FFFFFF"/>
        </w:rPr>
        <w:t xml:space="preserve">2004. </w:t>
      </w:r>
      <w:r w:rsidRPr="00E72FC1">
        <w:rPr>
          <w:i/>
          <w:iCs/>
          <w:shd w:val="clear" w:color="auto" w:fill="FFFFFF"/>
        </w:rPr>
        <w:t>An introduction to biometric recognition.</w:t>
      </w:r>
      <w:r w:rsidRPr="00E72FC1">
        <w:rPr>
          <w:shd w:val="clear" w:color="auto" w:fill="FFFFFF"/>
        </w:rPr>
        <w:t> IEEE Transactions on circuits and systems for video technology, 14(1), 4-20.</w:t>
      </w:r>
    </w:p>
    <w:p w14:paraId="54A94B74" w14:textId="77777777" w:rsidR="00E026E2" w:rsidRPr="00E72FC1" w:rsidRDefault="00E026E2" w:rsidP="005E0A3C">
      <w:pPr>
        <w:pStyle w:val="Textonotapie"/>
      </w:pPr>
      <w:r w:rsidRPr="00E72FC1">
        <w:lastRenderedPageBreak/>
        <w:t>Kindt, E. J. 2016. Privacy and data protection issues of biometric applications (Vol. 1). Springer.</w:t>
      </w:r>
    </w:p>
    <w:p w14:paraId="7DC08431" w14:textId="77777777" w:rsidR="00E026E2" w:rsidRPr="00E72FC1" w:rsidRDefault="00E026E2" w:rsidP="005E0A3C">
      <w:pPr>
        <w:pStyle w:val="Textonotapie"/>
      </w:pPr>
      <w:r w:rsidRPr="00E72FC1">
        <w:t xml:space="preserve">Koene, A., Clifton, C., Hatada, Y., Webb, H., &amp; Richardson, R. 2019. </w:t>
      </w:r>
      <w:r w:rsidRPr="00E72FC1">
        <w:rPr>
          <w:i/>
          <w:iCs/>
        </w:rPr>
        <w:t>A governance framework for algorithmic accountability and transparency</w:t>
      </w:r>
      <w:r w:rsidRPr="00E72FC1">
        <w:t>. European Parliamentary Research Service, Tech. Rep. PE, 624.</w:t>
      </w:r>
    </w:p>
    <w:p w14:paraId="5D9C50F2" w14:textId="77777777" w:rsidR="00E026E2" w:rsidRPr="00E72FC1" w:rsidRDefault="00E026E2" w:rsidP="005E0A3C">
      <w:pPr>
        <w:pStyle w:val="Textonotapie"/>
      </w:pPr>
      <w:r w:rsidRPr="00E72FC1">
        <w:t xml:space="preserve">Kruszka, P., Addissie, Y. A., McGinn, D. E., Porras, A. R., Biggs, E., Share, M., ... &amp; Muthukumarasamy, P. 2017. </w:t>
      </w:r>
      <w:r w:rsidRPr="00E72FC1">
        <w:rPr>
          <w:i/>
          <w:iCs/>
        </w:rPr>
        <w:t>22q11. 2 deletion syndrome in diverse populations.</w:t>
      </w:r>
      <w:r w:rsidRPr="00E72FC1">
        <w:t> American Journal of Medical Genetics Part A, 173(4), 879-888.</w:t>
      </w:r>
    </w:p>
    <w:p w14:paraId="50DA4B93" w14:textId="77777777" w:rsidR="00E026E2" w:rsidRPr="00E72FC1" w:rsidRDefault="00E026E2" w:rsidP="005E0A3C">
      <w:pPr>
        <w:pStyle w:val="Textonotapie"/>
      </w:pPr>
      <w:r w:rsidRPr="00E72FC1">
        <w:rPr>
          <w:shd w:val="clear" w:color="auto" w:fill="FFFFFF"/>
        </w:rPr>
        <w:t>Leenes, R., Van Brakel, R., Gutwirth, S., &amp; De Hert, P. (Eds.).</w:t>
      </w:r>
      <w:r w:rsidRPr="00E72FC1">
        <w:t xml:space="preserve"> </w:t>
      </w:r>
      <w:r w:rsidRPr="00E72FC1">
        <w:rPr>
          <w:shd w:val="clear" w:color="auto" w:fill="FFFFFF"/>
        </w:rPr>
        <w:t>2018. </w:t>
      </w:r>
      <w:r w:rsidRPr="00E72FC1">
        <w:rPr>
          <w:i/>
          <w:iCs/>
          <w:shd w:val="clear" w:color="auto" w:fill="FFFFFF"/>
        </w:rPr>
        <w:t>Data protection and privacy: The internet of bodies</w:t>
      </w:r>
      <w:r w:rsidRPr="00E72FC1">
        <w:rPr>
          <w:shd w:val="clear" w:color="auto" w:fill="FFFFFF"/>
        </w:rPr>
        <w:t>. Bloomsbury Publishing.</w:t>
      </w:r>
    </w:p>
    <w:p w14:paraId="61922350" w14:textId="77777777" w:rsidR="00E026E2" w:rsidRPr="00E72FC1" w:rsidRDefault="00E026E2" w:rsidP="005E0A3C">
      <w:pPr>
        <w:pStyle w:val="Textonotapie"/>
      </w:pPr>
      <w:r w:rsidRPr="00E72FC1">
        <w:t>Market and Markets. 2019. ‘Facial Recognition Market by Component (Software Tools (2D Recognition, 3D Recognition, and Facial Analytics and Services), Application Area (Emotion Recognition, Access Control, and Law Enforcement), Vertical, and Region - Global Forecast to 2024’</w:t>
      </w:r>
    </w:p>
    <w:p w14:paraId="5BE4C624" w14:textId="5940FDE1" w:rsidR="00E53429" w:rsidRPr="00E72FC1" w:rsidRDefault="00E53429" w:rsidP="005E0A3C">
      <w:pPr>
        <w:pStyle w:val="Textonotapie"/>
      </w:pPr>
      <w:bookmarkStart w:id="6" w:name="_Hlk40470390"/>
      <w:r w:rsidRPr="00E72FC1">
        <w:t xml:space="preserve">Mulgan, R. 2000. </w:t>
      </w:r>
      <w:r w:rsidRPr="00E72FC1">
        <w:rPr>
          <w:i/>
          <w:iCs/>
        </w:rPr>
        <w:t>‘Accountability’: An ever‐expanding concept?</w:t>
      </w:r>
      <w:r w:rsidRPr="00E72FC1">
        <w:t xml:space="preserve"> Public administration, 78(3), 555-573.</w:t>
      </w:r>
    </w:p>
    <w:p w14:paraId="3E6196E5" w14:textId="6BCCED0F" w:rsidR="00E026E2" w:rsidRPr="00E72FC1" w:rsidRDefault="00E026E2" w:rsidP="005E0A3C">
      <w:pPr>
        <w:pStyle w:val="Textonotapie"/>
      </w:pPr>
      <w:r w:rsidRPr="00E72FC1">
        <w:rPr>
          <w:shd w:val="clear" w:color="auto" w:fill="FFFFFF"/>
          <w:lang w:val="it-IT"/>
        </w:rPr>
        <w:t>Raji, I. D., &amp; Buolamwini, J.</w:t>
      </w:r>
      <w:r w:rsidRPr="00E72FC1">
        <w:rPr>
          <w:lang w:val="it-IT"/>
        </w:rPr>
        <w:t xml:space="preserve"> </w:t>
      </w:r>
      <w:r w:rsidRPr="00E72FC1">
        <w:rPr>
          <w:shd w:val="clear" w:color="auto" w:fill="FFFFFF"/>
          <w:lang w:val="it-IT"/>
        </w:rPr>
        <w:t xml:space="preserve">2019. </w:t>
      </w:r>
      <w:r w:rsidRPr="00E72FC1">
        <w:rPr>
          <w:i/>
          <w:iCs/>
          <w:shd w:val="clear" w:color="auto" w:fill="FFFFFF"/>
        </w:rPr>
        <w:t>Actionable auditing: Investigating the impact of publicly naming biased performance results of commercial ai products.</w:t>
      </w:r>
      <w:r w:rsidRPr="00E72FC1">
        <w:rPr>
          <w:shd w:val="clear" w:color="auto" w:fill="FFFFFF"/>
        </w:rPr>
        <w:t xml:space="preserve"> In Proceedings of the 2019 AAAI/ACM Conference on AI, Ethics, and Society (pp. 429-435).</w:t>
      </w:r>
      <w:bookmarkEnd w:id="6"/>
    </w:p>
    <w:p w14:paraId="40E69912" w14:textId="77777777" w:rsidR="00E026E2" w:rsidRPr="00E72FC1" w:rsidRDefault="00E026E2" w:rsidP="005E0A3C">
      <w:pPr>
        <w:pStyle w:val="Textonotapie"/>
      </w:pPr>
      <w:r w:rsidRPr="00E72FC1">
        <w:rPr>
          <w:shd w:val="clear" w:color="auto" w:fill="FFFFFF"/>
          <w:lang w:val="de-DE"/>
        </w:rPr>
        <w:t xml:space="preserve">Russell, S., Dewey, D., &amp; Tegmark, M. 2015. </w:t>
      </w:r>
      <w:r w:rsidRPr="00E72FC1">
        <w:rPr>
          <w:i/>
          <w:iCs/>
          <w:shd w:val="clear" w:color="auto" w:fill="FFFFFF"/>
        </w:rPr>
        <w:t>Research priorities for robust and beneficial artificial intelligence.</w:t>
      </w:r>
      <w:r w:rsidRPr="00E72FC1">
        <w:rPr>
          <w:shd w:val="clear" w:color="auto" w:fill="FFFFFF"/>
        </w:rPr>
        <w:t> Ai Magazine, 36(4), 105-114.</w:t>
      </w:r>
    </w:p>
    <w:p w14:paraId="698B251F" w14:textId="77777777" w:rsidR="00E026E2" w:rsidRPr="00E72FC1" w:rsidRDefault="00E026E2" w:rsidP="005E0A3C">
      <w:pPr>
        <w:pStyle w:val="Textonotapie"/>
      </w:pPr>
      <w:r w:rsidRPr="00E72FC1">
        <w:t>Smith, B., &amp; Browne, C. A. 2019. Tools and Weapons: The Promise and the Peril of the Digital Age. Penguin Press.</w:t>
      </w:r>
    </w:p>
    <w:p w14:paraId="1A1C1172" w14:textId="77777777" w:rsidR="00E026E2" w:rsidRPr="00E72FC1" w:rsidRDefault="00E026E2" w:rsidP="005E0A3C">
      <w:pPr>
        <w:pStyle w:val="Textonotapie"/>
      </w:pPr>
      <w:r w:rsidRPr="00E72FC1">
        <w:t>Statewatch. 2020. The EU’s biometric identity initiatives: challenges and ways forward for civil society action (Briefing for the workshop on 10 December 2020)</w:t>
      </w:r>
    </w:p>
    <w:p w14:paraId="41D60D91" w14:textId="77777777" w:rsidR="00E026E2" w:rsidRPr="00E72FC1" w:rsidRDefault="00E026E2" w:rsidP="005E0A3C">
      <w:pPr>
        <w:pStyle w:val="Textonotapie"/>
      </w:pPr>
      <w:r w:rsidRPr="00E72FC1">
        <w:t>Thomas, M. J. 2015. Combining Facial Recognition, Automatic License Plate Readers and Closed Circuit Television to Create an Interstate Identification System for Wanted Subjects. Naval Postgraduate School Monterey United States.</w:t>
      </w:r>
    </w:p>
    <w:p w14:paraId="4BD354A2" w14:textId="77777777" w:rsidR="00E026E2" w:rsidRPr="00E72FC1" w:rsidRDefault="00E026E2" w:rsidP="005E0A3C">
      <w:pPr>
        <w:pStyle w:val="Textonotapie"/>
      </w:pPr>
      <w:r w:rsidRPr="00E72FC1">
        <w:t>Vincent, J. 2017. The invention of AI 'gaydar' could be the start of something much worse. The Verge, 21.</w:t>
      </w:r>
    </w:p>
    <w:p w14:paraId="0562A658" w14:textId="77777777" w:rsidR="00E026E2" w:rsidRPr="00E72FC1" w:rsidRDefault="00E026E2" w:rsidP="005E0A3C">
      <w:pPr>
        <w:pStyle w:val="Textonotapie"/>
      </w:pPr>
      <w:r w:rsidRPr="00E72FC1">
        <w:rPr>
          <w:shd w:val="clear" w:color="auto" w:fill="FFFFFF"/>
        </w:rPr>
        <w:t xml:space="preserve">Warren, S. D., &amp; Brandeis, L. D.1890. </w:t>
      </w:r>
      <w:r w:rsidRPr="00E72FC1">
        <w:rPr>
          <w:i/>
          <w:iCs/>
          <w:shd w:val="clear" w:color="auto" w:fill="FFFFFF"/>
        </w:rPr>
        <w:t>The right to privacy.</w:t>
      </w:r>
      <w:r w:rsidRPr="00E72FC1">
        <w:rPr>
          <w:shd w:val="clear" w:color="auto" w:fill="FFFFFF"/>
        </w:rPr>
        <w:t> Harvard law review, 193-220.</w:t>
      </w:r>
    </w:p>
    <w:p w14:paraId="34942921" w14:textId="3F903EA6" w:rsidR="00E026E2" w:rsidRPr="00E72FC1" w:rsidRDefault="00E026E2" w:rsidP="005E0A3C">
      <w:pPr>
        <w:pStyle w:val="Textonotapie"/>
      </w:pPr>
      <w:r w:rsidRPr="00E72FC1">
        <w:t>Whittaker, M. and others (2019), Disability, Bias and AI.</w:t>
      </w:r>
      <w:r w:rsidR="005B11A9">
        <w:t xml:space="preserve"> Publication/publisher</w:t>
      </w:r>
    </w:p>
    <w:p w14:paraId="32FAA271" w14:textId="77777777" w:rsidR="00E026E2" w:rsidRPr="0072508E" w:rsidRDefault="00E026E2" w:rsidP="005E0A3C">
      <w:pPr>
        <w:pStyle w:val="Textonotapie"/>
      </w:pPr>
    </w:p>
    <w:p w14:paraId="3C4CB2E1" w14:textId="77777777" w:rsidR="00E026E2" w:rsidRDefault="00E026E2" w:rsidP="00B4268A">
      <w:pPr>
        <w:spacing w:line="360" w:lineRule="auto"/>
        <w:jc w:val="both"/>
      </w:pPr>
    </w:p>
    <w:sectPr w:rsidR="00E026E2">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5D38BC" w14:textId="77777777" w:rsidR="007B7AE2" w:rsidRDefault="007B7AE2" w:rsidP="0056181D">
      <w:pPr>
        <w:spacing w:line="240" w:lineRule="auto"/>
      </w:pPr>
      <w:r>
        <w:separator/>
      </w:r>
    </w:p>
  </w:endnote>
  <w:endnote w:type="continuationSeparator" w:id="0">
    <w:p w14:paraId="53F08733" w14:textId="77777777" w:rsidR="007B7AE2" w:rsidRDefault="007B7AE2" w:rsidP="0056181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yriad Pro">
    <w:altName w:val="Segoe UI"/>
    <w:panose1 w:val="00000000000000000000"/>
    <w:charset w:val="00"/>
    <w:family w:val="swiss"/>
    <w:notTrueType/>
    <w:pitch w:val="variable"/>
    <w:sig w:usb0="A00002AF" w:usb1="5000204B"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09DD67" w14:textId="77777777" w:rsidR="007B7AE2" w:rsidRDefault="007B7AE2" w:rsidP="0056181D">
      <w:pPr>
        <w:spacing w:line="240" w:lineRule="auto"/>
      </w:pPr>
      <w:r>
        <w:separator/>
      </w:r>
    </w:p>
  </w:footnote>
  <w:footnote w:type="continuationSeparator" w:id="0">
    <w:p w14:paraId="798B5D22" w14:textId="77777777" w:rsidR="007B7AE2" w:rsidRDefault="007B7AE2" w:rsidP="0056181D">
      <w:pPr>
        <w:spacing w:line="240" w:lineRule="auto"/>
      </w:pPr>
      <w:r>
        <w:continuationSeparator/>
      </w:r>
    </w:p>
  </w:footnote>
  <w:footnote w:id="1">
    <w:p w14:paraId="41E0000D" w14:textId="252D5C72" w:rsidR="007507CA" w:rsidRPr="00D17793" w:rsidRDefault="007507CA" w:rsidP="005E0A3C">
      <w:pPr>
        <w:pStyle w:val="Textonotapie"/>
      </w:pPr>
      <w:r w:rsidRPr="00D17793">
        <w:rPr>
          <w:rStyle w:val="Refdenotaalpie"/>
        </w:rPr>
        <w:footnoteRef/>
      </w:r>
      <w:r w:rsidRPr="00D17793">
        <w:t xml:space="preserve"> &lt;https://www.wired.com/story/secret-history-facial-recognition/&gt;</w:t>
      </w:r>
    </w:p>
  </w:footnote>
  <w:footnote w:id="2">
    <w:p w14:paraId="3AE6DF45" w14:textId="04292F31" w:rsidR="007507CA" w:rsidRPr="00DD7203" w:rsidRDefault="007507CA" w:rsidP="005E0A3C">
      <w:pPr>
        <w:pStyle w:val="Textonotapie"/>
        <w:rPr>
          <w:rStyle w:val="Hipervnculo"/>
        </w:rPr>
      </w:pPr>
      <w:r w:rsidRPr="00DD7203">
        <w:rPr>
          <w:rStyle w:val="Refdenotaalpie"/>
        </w:rPr>
        <w:footnoteRef/>
      </w:r>
      <w:r w:rsidRPr="00DD7203">
        <w:t xml:space="preserve"> &lt;https://www.facebook.com/help/122175507864081&gt;</w:t>
      </w:r>
    </w:p>
    <w:p w14:paraId="461029A4" w14:textId="51DB5916" w:rsidR="007507CA" w:rsidRPr="00DD7203" w:rsidRDefault="007507CA" w:rsidP="005E0A3C">
      <w:pPr>
        <w:pStyle w:val="Textonotapie"/>
      </w:pPr>
      <w:r w:rsidRPr="00DD7203">
        <w:rPr>
          <w:rStyle w:val="Hipervnculo"/>
          <w:color w:val="auto"/>
          <w:u w:val="none"/>
        </w:rPr>
        <w:t>This idea was proposed to Facebook by an Israelian company in 2009. The origin of this idea can be traced down to the website &lt;</w:t>
      </w:r>
      <w:r w:rsidRPr="00DD7203">
        <w:t>http://face.com&gt;</w:t>
      </w:r>
      <w:r w:rsidRPr="00DD7203">
        <w:rPr>
          <w:rStyle w:val="Hipervnculo"/>
          <w:color w:val="auto"/>
          <w:u w:val="none"/>
        </w:rPr>
        <w:t xml:space="preserve"> that allowed social network members to use the photo tagging system and also to developers to elaborate face recognition applications. ‘In May 2010, seven billion of pictures were scanned, increasing every minute of the day (as indicated with the automated number teller on the website), allowing for the identification of (millions of) individuals. This number increased to over 30 billion pictures.’ (</w:t>
      </w:r>
      <w:r w:rsidRPr="00DD7203">
        <w:rPr>
          <w:shd w:val="clear" w:color="auto" w:fill="FFFFFF"/>
        </w:rPr>
        <w:t>Kindt 2013).</w:t>
      </w:r>
      <w:r w:rsidRPr="00DD7203">
        <w:rPr>
          <w:i/>
          <w:iCs/>
          <w:shd w:val="clear" w:color="auto" w:fill="FFFFFF"/>
        </w:rPr>
        <w:t xml:space="preserve"> </w:t>
      </w:r>
      <w:r w:rsidRPr="00DD7203">
        <w:rPr>
          <w:shd w:val="clear" w:color="auto" w:fill="FFFFFF"/>
        </w:rPr>
        <w:t>This website was acquired by Facebook and nowadays the webpage is unavailable. (&lt;</w:t>
      </w:r>
      <w:r w:rsidRPr="00DD7203">
        <w:t>https://techcrunch.com/2012/06/18/facebook-scoops-up-face-com-for-100m-to-bolster-its-facial-recognition-tech/</w:t>
      </w:r>
      <w:r w:rsidRPr="00DD7203">
        <w:rPr>
          <w:rStyle w:val="Hipervnculo"/>
          <w:color w:val="auto"/>
          <w:u w:val="none"/>
        </w:rPr>
        <w:t>&gt;)</w:t>
      </w:r>
    </w:p>
  </w:footnote>
  <w:footnote w:id="3">
    <w:p w14:paraId="751A4EAB" w14:textId="2F632141" w:rsidR="007507CA" w:rsidRPr="00DD7203" w:rsidRDefault="007507CA" w:rsidP="005E0A3C">
      <w:pPr>
        <w:pStyle w:val="Textonotapie"/>
      </w:pPr>
      <w:r w:rsidRPr="00DD7203">
        <w:rPr>
          <w:rStyle w:val="Refdenotaalpie"/>
        </w:rPr>
        <w:footnoteRef/>
      </w:r>
      <w:r w:rsidRPr="00DD7203">
        <w:t xml:space="preserve"> &lt;https://www.bbc.com/news/technology-41228126&gt;</w:t>
      </w:r>
    </w:p>
  </w:footnote>
  <w:footnote w:id="4">
    <w:p w14:paraId="0D48EB03" w14:textId="1CBCF44E" w:rsidR="007507CA" w:rsidRPr="00DD7203" w:rsidRDefault="007507CA" w:rsidP="005E0A3C">
      <w:pPr>
        <w:pStyle w:val="Textonotapie"/>
      </w:pPr>
      <w:r w:rsidRPr="00DD7203">
        <w:rPr>
          <w:rStyle w:val="Refdenotaalpie"/>
        </w:rPr>
        <w:footnoteRef/>
      </w:r>
      <w:r w:rsidRPr="00DD7203">
        <w:t xml:space="preserve"> &lt;https://www.facefirst.com/blog/how-face-recognition-evolved-using-artificial-intelligence/&gt;</w:t>
      </w:r>
    </w:p>
  </w:footnote>
  <w:footnote w:id="5">
    <w:p w14:paraId="7D5DC58C" w14:textId="28C610E6" w:rsidR="007507CA" w:rsidRPr="00DD7203" w:rsidRDefault="007507CA" w:rsidP="005E0A3C">
      <w:pPr>
        <w:pStyle w:val="Textonotapie"/>
      </w:pPr>
      <w:r w:rsidRPr="00DD7203">
        <w:rPr>
          <w:rStyle w:val="Refdenotaalpie"/>
        </w:rPr>
        <w:footnoteRef/>
      </w:r>
      <w:r w:rsidRPr="00DD7203">
        <w:t xml:space="preserve"> </w:t>
      </w:r>
      <w:bookmarkStart w:id="0" w:name="_Hlk40470006"/>
      <w:r w:rsidRPr="00DD7203">
        <w:t>NIST is the standardisation institution which operates within the U.S.</w:t>
      </w:r>
      <w:bookmarkStart w:id="1" w:name="_Hlk60058501"/>
      <w:bookmarkEnd w:id="0"/>
    </w:p>
    <w:bookmarkEnd w:id="1"/>
  </w:footnote>
  <w:footnote w:id="6">
    <w:p w14:paraId="1170949B" w14:textId="16DF4F1E" w:rsidR="007507CA" w:rsidRPr="00DD7203" w:rsidRDefault="007507CA" w:rsidP="005E0A3C">
      <w:pPr>
        <w:pStyle w:val="Textonotapie"/>
      </w:pPr>
      <w:r w:rsidRPr="00DD7203">
        <w:rPr>
          <w:rStyle w:val="Refdenotaalpie"/>
        </w:rPr>
        <w:footnoteRef/>
      </w:r>
      <w:r w:rsidRPr="00DD7203">
        <w:t xml:space="preserve"> &lt;https://www.facefirst.com/blog/how-face-recognition-evolved-using-artificial-intelligence/&gt;</w:t>
      </w:r>
    </w:p>
  </w:footnote>
  <w:footnote w:id="7">
    <w:p w14:paraId="09E85CD9" w14:textId="77777777" w:rsidR="007507CA" w:rsidRPr="00DD7203" w:rsidRDefault="007507CA" w:rsidP="005E0A3C">
      <w:pPr>
        <w:pStyle w:val="Textonotapie"/>
      </w:pPr>
      <w:r w:rsidRPr="00DD7203">
        <w:rPr>
          <w:rStyle w:val="Refdenotaalpie"/>
        </w:rPr>
        <w:footnoteRef/>
      </w:r>
      <w:r w:rsidRPr="00DD7203">
        <w:t xml:space="preserve"> From a scientific point of view, recognition only covers identification and verification. See ISO/IEC 2387-37 definition of ‘biometric recognition’ under term 37-01-03 on the harmonized biometric vocabulary. However, as stated in A29WP’s opinion 02/2012, face recognition also covers categorisation.</w:t>
      </w:r>
    </w:p>
  </w:footnote>
  <w:footnote w:id="8">
    <w:p w14:paraId="6D918A52" w14:textId="2788CCED" w:rsidR="007507CA" w:rsidRPr="00DD7203" w:rsidRDefault="007507CA" w:rsidP="005E0A3C">
      <w:pPr>
        <w:pStyle w:val="Textonotapie"/>
        <w:rPr>
          <w:i/>
          <w:iCs/>
        </w:rPr>
      </w:pPr>
      <w:r w:rsidRPr="00DD7203">
        <w:rPr>
          <w:shd w:val="clear" w:color="auto" w:fill="FFFFFF"/>
          <w:vertAlign w:val="superscript"/>
        </w:rPr>
        <w:footnoteRef/>
      </w:r>
      <w:r w:rsidRPr="00DD7203">
        <w:rPr>
          <w:shd w:val="clear" w:color="auto" w:fill="FFFFFF"/>
        </w:rPr>
        <w:t xml:space="preserve"> These systems are considered</w:t>
      </w:r>
      <w:r w:rsidRPr="00DD7203">
        <w:t xml:space="preserve"> to ‘protect public safety and promote better services for the public without raising these types of concerns.’ (referred about surveillance) (</w:t>
      </w:r>
      <w:bookmarkStart w:id="2" w:name="_Hlk60059105"/>
      <w:r w:rsidRPr="00DD7203">
        <w:rPr>
          <w:shd w:val="clear" w:color="auto" w:fill="FFFFFF"/>
        </w:rPr>
        <w:t>Smith and Browne 2019). </w:t>
      </w:r>
      <w:bookmarkEnd w:id="2"/>
    </w:p>
  </w:footnote>
  <w:footnote w:id="9">
    <w:p w14:paraId="7819A073" w14:textId="15E27D20" w:rsidR="007507CA" w:rsidRPr="00DD7203" w:rsidRDefault="007507CA" w:rsidP="005E0A3C">
      <w:pPr>
        <w:pStyle w:val="Textonotapie"/>
      </w:pPr>
      <w:r w:rsidRPr="00DD7203">
        <w:rPr>
          <w:rStyle w:val="Refdenotaalpie"/>
        </w:rPr>
        <w:footnoteRef/>
      </w:r>
      <w:r w:rsidRPr="00DD7203">
        <w:t xml:space="preserve"> &lt;https://ec.europa.eu/home-affairs/what-we-do/policies/borders-and-visas/document-security_en</w:t>
      </w:r>
      <w:r w:rsidRPr="00DD7203">
        <w:rPr>
          <w:color w:val="000000"/>
          <w:shd w:val="clear" w:color="auto" w:fill="FFFFFF"/>
        </w:rPr>
        <w:t xml:space="preserve">&gt; </w:t>
      </w:r>
      <w:bookmarkStart w:id="3" w:name="_Hlk60152434"/>
    </w:p>
    <w:bookmarkEnd w:id="3"/>
  </w:footnote>
  <w:footnote w:id="10">
    <w:p w14:paraId="295E2241" w14:textId="14C3672B" w:rsidR="007507CA" w:rsidRPr="00DD7203" w:rsidRDefault="007507CA" w:rsidP="005E0A3C">
      <w:pPr>
        <w:pStyle w:val="Textonotapie"/>
      </w:pPr>
      <w:r w:rsidRPr="00DD7203">
        <w:rPr>
          <w:shd w:val="clear" w:color="auto" w:fill="FFFFFF"/>
          <w:vertAlign w:val="superscript"/>
        </w:rPr>
        <w:footnoteRef/>
      </w:r>
      <w:r w:rsidRPr="00DD7203">
        <w:rPr>
          <w:shd w:val="clear" w:color="auto" w:fill="FFFFFF"/>
        </w:rPr>
        <w:t xml:space="preserve"> &lt;https://www.perpetuallineup.org/&gt;</w:t>
      </w:r>
    </w:p>
  </w:footnote>
  <w:footnote w:id="11">
    <w:p w14:paraId="1B54E6BD" w14:textId="68EDA1E5" w:rsidR="007507CA" w:rsidRPr="00DD7203" w:rsidRDefault="007507CA" w:rsidP="005E0A3C">
      <w:pPr>
        <w:pStyle w:val="Textonotapie"/>
      </w:pPr>
      <w:r w:rsidRPr="00DD7203">
        <w:rPr>
          <w:rStyle w:val="Refdenotaalpie"/>
        </w:rPr>
        <w:footnoteRef/>
      </w:r>
      <w:r w:rsidRPr="00DD7203">
        <w:t xml:space="preserve"> &lt;https://www.wired.com/2017/05/the-physics-of-drones/&gt;</w:t>
      </w:r>
    </w:p>
  </w:footnote>
  <w:footnote w:id="12">
    <w:p w14:paraId="2324B34F" w14:textId="6DCF2365" w:rsidR="007507CA" w:rsidRPr="00DD7203" w:rsidRDefault="007507CA" w:rsidP="005E0A3C">
      <w:pPr>
        <w:pStyle w:val="Textonotapie"/>
      </w:pPr>
      <w:r w:rsidRPr="00DD7203">
        <w:rPr>
          <w:rStyle w:val="Refdenotaalpie"/>
        </w:rPr>
        <w:footnoteRef/>
      </w:r>
      <w:r w:rsidRPr="00DD7203">
        <w:t xml:space="preserve"> &lt;https://www.reuters.com/article/us-china-parliament-surveillance/china-eyes-black-tech-to-boost-security-as-parliament-meets-idUSKBN1GM06M?utm_campaign=trueAnthem:+Trending+Content&amp;utm_content=5aa3f9fd04d30121e40e5e73&amp;utm_medium=trueAnthem&amp;utm_source=twitter&gt;</w:t>
      </w:r>
    </w:p>
  </w:footnote>
  <w:footnote w:id="13">
    <w:p w14:paraId="51FF9E96" w14:textId="5F43E219" w:rsidR="007507CA" w:rsidRPr="00DD7203" w:rsidRDefault="007507CA" w:rsidP="005E0A3C">
      <w:pPr>
        <w:pStyle w:val="Textonotapie"/>
      </w:pPr>
      <w:r w:rsidRPr="00DD7203">
        <w:rPr>
          <w:rStyle w:val="Refdenotaalpie"/>
        </w:rPr>
        <w:footnoteRef/>
      </w:r>
      <w:r w:rsidRPr="00DD7203">
        <w:rPr>
          <w:shd w:val="clear" w:color="auto" w:fill="FFFFFF"/>
        </w:rPr>
        <w:t xml:space="preserve"> Parliamentary question E-002894/2018 of 5 September 2018. Answer given by Mr Avramopoulos on behalf of the European Commission.</w:t>
      </w:r>
    </w:p>
  </w:footnote>
  <w:footnote w:id="14">
    <w:p w14:paraId="5673C5DE" w14:textId="05C07E08" w:rsidR="007507CA" w:rsidRPr="00DD7203" w:rsidRDefault="007507CA" w:rsidP="005E0A3C">
      <w:pPr>
        <w:pStyle w:val="Textonotapie"/>
      </w:pPr>
      <w:r w:rsidRPr="00DD7203">
        <w:rPr>
          <w:rStyle w:val="Refdenotaalpie"/>
        </w:rPr>
        <w:footnoteRef/>
      </w:r>
      <w:r w:rsidRPr="00DD7203">
        <w:t xml:space="preserve"> &lt;https://www.interpol.int/en/How-we-work/Forensics/Facial-Recognition&gt;</w:t>
      </w:r>
    </w:p>
  </w:footnote>
  <w:footnote w:id="15">
    <w:p w14:paraId="327ACCA3" w14:textId="77777777" w:rsidR="007507CA" w:rsidRPr="00DD7203" w:rsidRDefault="007507CA" w:rsidP="005E0A3C">
      <w:pPr>
        <w:pStyle w:val="Textonotapie"/>
        <w:rPr>
          <w:lang w:val="es-ES"/>
        </w:rPr>
      </w:pPr>
      <w:r w:rsidRPr="00DD7203">
        <w:rPr>
          <w:rStyle w:val="Refdenotaalpie"/>
        </w:rPr>
        <w:footnoteRef/>
      </w:r>
      <w:r w:rsidRPr="00DD7203">
        <w:rPr>
          <w:lang w:val="es-ES"/>
        </w:rPr>
        <w:t xml:space="preserve"> </w:t>
      </w:r>
      <w:r w:rsidRPr="00D17793">
        <w:rPr>
          <w:lang w:val="es-ES"/>
        </w:rPr>
        <w:t>Ibid.</w:t>
      </w:r>
    </w:p>
  </w:footnote>
  <w:footnote w:id="16">
    <w:p w14:paraId="7BF9867C" w14:textId="6A624164" w:rsidR="007507CA" w:rsidRPr="00DD7203" w:rsidRDefault="007507CA" w:rsidP="005E0A3C">
      <w:pPr>
        <w:pStyle w:val="Textonotapie"/>
        <w:rPr>
          <w:lang w:val="es-ES"/>
        </w:rPr>
      </w:pPr>
      <w:r w:rsidRPr="00DD7203">
        <w:rPr>
          <w:shd w:val="clear" w:color="auto" w:fill="FFFFFF"/>
          <w:vertAlign w:val="superscript"/>
        </w:rPr>
        <w:footnoteRef/>
      </w:r>
      <w:r w:rsidRPr="00DD7203">
        <w:rPr>
          <w:shd w:val="clear" w:color="auto" w:fill="FFFFFF"/>
          <w:lang w:val="es-ES"/>
        </w:rPr>
        <w:t xml:space="preserve"> &lt;</w:t>
      </w:r>
      <w:r w:rsidRPr="00DD7203">
        <w:rPr>
          <w:lang w:val="es-ES"/>
        </w:rPr>
        <w:t>https://www.iborderctrl.eu/&gt;</w:t>
      </w:r>
    </w:p>
  </w:footnote>
  <w:footnote w:id="17">
    <w:p w14:paraId="2BA0215D" w14:textId="43EB1BD7" w:rsidR="007507CA" w:rsidRPr="00DD7203" w:rsidRDefault="007507CA" w:rsidP="005E0A3C">
      <w:pPr>
        <w:pStyle w:val="Textonotapie"/>
        <w:rPr>
          <w:lang w:val="es-ES"/>
        </w:rPr>
      </w:pPr>
      <w:r w:rsidRPr="00DD7203">
        <w:rPr>
          <w:rStyle w:val="Refdenotaalpie"/>
        </w:rPr>
        <w:footnoteRef/>
      </w:r>
      <w:r w:rsidRPr="00DD7203">
        <w:rPr>
          <w:lang w:val="es-ES"/>
        </w:rPr>
        <w:t xml:space="preserve"> &lt;https://www.theguardian.com/world/2020/apr/02/cybergulag-russia-looks-to-surveillance-technology-to-enforce-lockdown&gt;</w:t>
      </w:r>
    </w:p>
    <w:p w14:paraId="392CC234" w14:textId="39385795" w:rsidR="007507CA" w:rsidRPr="00DD7203" w:rsidRDefault="007507CA" w:rsidP="005E0A3C">
      <w:pPr>
        <w:pStyle w:val="Textonotapie"/>
        <w:rPr>
          <w:lang w:val="es-ES"/>
        </w:rPr>
      </w:pPr>
      <w:r w:rsidRPr="00DD7203">
        <w:rPr>
          <w:lang w:val="es-ES"/>
        </w:rPr>
        <w:t>&lt;https://www.washingtonpost.com/world/europe/coronavirus-russia-surveillance-tracking/2020/04/04/0798f4dc-7519-11ea-ad9b-254ec99993bc_story.html&gt;</w:t>
      </w:r>
    </w:p>
    <w:p w14:paraId="0523216E" w14:textId="1E805F5F" w:rsidR="007507CA" w:rsidRPr="00DD7203" w:rsidRDefault="007507CA" w:rsidP="005E0A3C">
      <w:pPr>
        <w:pStyle w:val="Textonotapie"/>
        <w:rPr>
          <w:lang w:val="es-ES"/>
        </w:rPr>
      </w:pPr>
      <w:r w:rsidRPr="00DD7203">
        <w:rPr>
          <w:lang w:val="es-ES"/>
        </w:rPr>
        <w:t>&lt;https://www.france24.com/en/20200324-100-000-cameras-moscow-uses-facial-recognition-to-enforce-quarantine&gt;</w:t>
      </w:r>
    </w:p>
  </w:footnote>
  <w:footnote w:id="18">
    <w:p w14:paraId="2FC638F3" w14:textId="0F518F57" w:rsidR="007507CA" w:rsidRPr="00DD7203" w:rsidRDefault="007507CA" w:rsidP="005E0A3C">
      <w:pPr>
        <w:pStyle w:val="Textonotapie"/>
        <w:rPr>
          <w:lang w:val="es-ES"/>
        </w:rPr>
      </w:pPr>
      <w:r w:rsidRPr="00DD7203">
        <w:rPr>
          <w:rStyle w:val="Refdenotaalpie"/>
        </w:rPr>
        <w:footnoteRef/>
      </w:r>
      <w:r w:rsidRPr="00DD7203">
        <w:rPr>
          <w:lang w:val="es-ES"/>
        </w:rPr>
        <w:t xml:space="preserve"> &lt;https://www.ft.com/content/42415608-340c-4c0a-8c93-f22cdd4cc2d6&gt;</w:t>
      </w:r>
    </w:p>
  </w:footnote>
  <w:footnote w:id="19">
    <w:p w14:paraId="6283A0C3" w14:textId="3705056B" w:rsidR="007507CA" w:rsidRPr="00DD7203" w:rsidRDefault="007507CA" w:rsidP="005E0A3C">
      <w:pPr>
        <w:pStyle w:val="Textonotapie"/>
        <w:rPr>
          <w:rStyle w:val="Hipervnculo"/>
          <w:color w:val="auto"/>
          <w:u w:val="none"/>
          <w:lang w:val="es-ES"/>
        </w:rPr>
      </w:pPr>
      <w:r w:rsidRPr="00DD7203">
        <w:rPr>
          <w:rStyle w:val="Refdenotaalpie"/>
        </w:rPr>
        <w:footnoteRef/>
      </w:r>
      <w:r w:rsidRPr="00DD7203">
        <w:rPr>
          <w:lang w:val="es-ES"/>
        </w:rPr>
        <w:t xml:space="preserve"> &lt;https://www.natlawreview.com/article/will-role-facial-recognition-grow-post-covid-19-world&gt;</w:t>
      </w:r>
    </w:p>
    <w:p w14:paraId="6EBB348D" w14:textId="5FEE2922" w:rsidR="007507CA" w:rsidRPr="00DD7203" w:rsidRDefault="007507CA" w:rsidP="005E0A3C">
      <w:pPr>
        <w:pStyle w:val="Textonotapie"/>
      </w:pPr>
      <w:r w:rsidRPr="00DD7203">
        <w:rPr>
          <w:rStyle w:val="Hipervnculo"/>
          <w:color w:val="auto"/>
          <w:u w:val="none"/>
        </w:rPr>
        <w:t>In this context, the company Hikvision is developing FRT-AI access control terminals able to measure a person’s temperature. This technology ensures a contactless, fast and practical access to places (&lt;</w:t>
      </w:r>
      <w:r w:rsidRPr="00DD7203">
        <w:t>https://content.hikvision.com/es-es/es/terminales_reconocimiento_facial_y_deteccion_temperatura&gt;)</w:t>
      </w:r>
    </w:p>
  </w:footnote>
  <w:footnote w:id="20">
    <w:p w14:paraId="1EDBEBA7" w14:textId="5B20DDEF" w:rsidR="007507CA" w:rsidRPr="00DD7203" w:rsidRDefault="007507CA" w:rsidP="005E0A3C">
      <w:pPr>
        <w:pStyle w:val="Textonotapie"/>
      </w:pPr>
      <w:r w:rsidRPr="00DD7203">
        <w:rPr>
          <w:rStyle w:val="Refdenotaalpie"/>
        </w:rPr>
        <w:footnoteRef/>
      </w:r>
      <w:r w:rsidRPr="00DD7203">
        <w:t xml:space="preserve"> &lt;https://www.gemalto.com/financial/issuance/id-verification/know-your-customer&gt;</w:t>
      </w:r>
    </w:p>
  </w:footnote>
  <w:footnote w:id="21">
    <w:p w14:paraId="75EC24D4" w14:textId="4391798F" w:rsidR="007507CA" w:rsidRPr="00DD7203" w:rsidRDefault="007507CA" w:rsidP="005E0A3C">
      <w:pPr>
        <w:pStyle w:val="Textonotapie"/>
      </w:pPr>
      <w:r w:rsidRPr="00DD7203">
        <w:rPr>
          <w:rStyle w:val="Refdenotaalpie"/>
        </w:rPr>
        <w:footnoteRef/>
      </w:r>
      <w:r w:rsidRPr="00DD7203">
        <w:t>&lt;https://www.popularmechanics.com/technology/design/a15840204/amazon-opens-amazon-go-seattle/&gt;</w:t>
      </w:r>
    </w:p>
  </w:footnote>
  <w:footnote w:id="22">
    <w:p w14:paraId="7F4DDDEF" w14:textId="2C3CF2A9" w:rsidR="007507CA" w:rsidRPr="00DD7203" w:rsidRDefault="007507CA" w:rsidP="005E0A3C">
      <w:pPr>
        <w:pStyle w:val="Textonotapie"/>
      </w:pPr>
      <w:r w:rsidRPr="00DD7203">
        <w:rPr>
          <w:rStyle w:val="Refdenotaalpie"/>
        </w:rPr>
        <w:footnoteRef/>
      </w:r>
      <w:r w:rsidRPr="00DD7203">
        <w:t xml:space="preserve"> &lt;https://www.theguardian.com/technology/2017/jan/11/china-beijing-first-smart-restaurant-kfc-facial-recognition&gt;</w:t>
      </w:r>
    </w:p>
  </w:footnote>
  <w:footnote w:id="23">
    <w:p w14:paraId="05732991" w14:textId="478D87AF" w:rsidR="007507CA" w:rsidRPr="00DD7203" w:rsidRDefault="007507CA" w:rsidP="005E0A3C">
      <w:pPr>
        <w:pStyle w:val="Textonotapie"/>
      </w:pPr>
      <w:r w:rsidRPr="00DD7203">
        <w:rPr>
          <w:rStyle w:val="Refdenotaalpie"/>
        </w:rPr>
        <w:footnoteRef/>
      </w:r>
      <w:r w:rsidRPr="00DD7203">
        <w:t xml:space="preserve"> </w:t>
      </w:r>
      <w:r w:rsidRPr="00DD7203">
        <w:rPr>
          <w:shd w:val="clear" w:color="auto" w:fill="FFFFFF"/>
        </w:rPr>
        <w:t>The German Federal Ministry for Justice and Consumer Protection and the </w:t>
      </w:r>
      <w:r w:rsidRPr="00DD7203">
        <w:rPr>
          <w:bdr w:val="none" w:sz="0" w:space="0" w:color="auto" w:frame="1"/>
          <w:shd w:val="clear" w:color="auto" w:fill="FFFFFF"/>
        </w:rPr>
        <w:t>EU Agency for Fundamental Rights (FRA). 2020. Vi</w:t>
      </w:r>
      <w:r w:rsidRPr="00DD7203">
        <w:rPr>
          <w:shd w:val="clear" w:color="auto" w:fill="FFFFFF"/>
        </w:rPr>
        <w:t>tual event "</w:t>
      </w:r>
      <w:r w:rsidRPr="00DD7203">
        <w:rPr>
          <w:rStyle w:val="Fuerte"/>
          <w:b w:val="0"/>
          <w:bCs w:val="0"/>
          <w:color w:val="201F1E"/>
          <w:shd w:val="clear" w:color="auto" w:fill="FFFFFF"/>
        </w:rPr>
        <w:t>DOING AI THE EUROPEAN WAY: PROTECTING FUNDAMENTAL RIGHTS IN AN ERA OF ARTIFICIAL INTELLIGENCE</w:t>
      </w:r>
      <w:r w:rsidRPr="00DD7203">
        <w:rPr>
          <w:shd w:val="clear" w:color="auto" w:fill="FFFFFF"/>
        </w:rPr>
        <w:t>"</w:t>
      </w:r>
    </w:p>
  </w:footnote>
  <w:footnote w:id="24">
    <w:p w14:paraId="21BBA3F9" w14:textId="77777777" w:rsidR="007507CA" w:rsidRPr="00DD7203" w:rsidRDefault="007507CA" w:rsidP="005E0A3C">
      <w:pPr>
        <w:pStyle w:val="Textonotapie"/>
      </w:pPr>
      <w:r w:rsidRPr="00DD7203">
        <w:rPr>
          <w:rStyle w:val="Refdenotaalpie"/>
        </w:rPr>
        <w:footnoteRef/>
      </w:r>
      <w:r w:rsidRPr="00DD7203">
        <w:t xml:space="preserve"> For exegetical reasons, the different regulatory instruments will be analysed in chronological order.</w:t>
      </w:r>
    </w:p>
  </w:footnote>
  <w:footnote w:id="25">
    <w:p w14:paraId="3CB9341F" w14:textId="77777777" w:rsidR="007507CA" w:rsidRPr="00DD7203" w:rsidRDefault="007507CA" w:rsidP="005E0A3C">
      <w:pPr>
        <w:pStyle w:val="Textonotapie"/>
        <w:rPr>
          <w:shd w:val="clear" w:color="auto" w:fill="FFFFFF"/>
        </w:rPr>
      </w:pPr>
      <w:r w:rsidRPr="00DD7203">
        <w:rPr>
          <w:shd w:val="clear" w:color="auto" w:fill="FFFFFF"/>
          <w:vertAlign w:val="superscript"/>
        </w:rPr>
        <w:footnoteRef/>
      </w:r>
      <w:r w:rsidRPr="00DD7203">
        <w:rPr>
          <w:shd w:val="clear" w:color="auto" w:fill="FFFFFF"/>
          <w:vertAlign w:val="superscript"/>
        </w:rPr>
        <w:t xml:space="preserve"> </w:t>
      </w:r>
      <w:r w:rsidRPr="00DD7203">
        <w:rPr>
          <w:shd w:val="clear" w:color="auto" w:fill="FFFFFF"/>
        </w:rPr>
        <w:t xml:space="preserve">‘A digital image is a representation of a two-dimensional image in a digital form. However, recent advances in facial recognition technology require that three dimensional images are included in addition to both static and moving images (i.e. photographs, recorded and live video).’ </w:t>
      </w:r>
    </w:p>
  </w:footnote>
  <w:footnote w:id="26">
    <w:p w14:paraId="28115132" w14:textId="77777777" w:rsidR="007507CA" w:rsidRPr="00DD7203" w:rsidRDefault="007507CA" w:rsidP="005E0A3C">
      <w:pPr>
        <w:pStyle w:val="Textonotapie"/>
        <w:rPr>
          <w:shd w:val="clear" w:color="auto" w:fill="FFFFFF"/>
        </w:rPr>
      </w:pPr>
      <w:r w:rsidRPr="00DD7203">
        <w:rPr>
          <w:shd w:val="clear" w:color="auto" w:fill="FFFFFF"/>
          <w:vertAlign w:val="superscript"/>
        </w:rPr>
        <w:footnoteRef/>
      </w:r>
      <w:r w:rsidRPr="00DD7203">
        <w:rPr>
          <w:shd w:val="clear" w:color="auto" w:fill="FFFFFF"/>
        </w:rPr>
        <w:t xml:space="preserve"> ‘The process of capturing the face of an individual and converting to a digital form (the digital image).’ </w:t>
      </w:r>
    </w:p>
  </w:footnote>
  <w:footnote w:id="27">
    <w:p w14:paraId="3B64AD07" w14:textId="77777777" w:rsidR="007507CA" w:rsidRPr="00DD7203" w:rsidRDefault="007507CA" w:rsidP="005E0A3C">
      <w:pPr>
        <w:pStyle w:val="Textonotapie"/>
        <w:rPr>
          <w:shd w:val="clear" w:color="auto" w:fill="FFFFFF"/>
        </w:rPr>
      </w:pPr>
      <w:r w:rsidRPr="00DD7203">
        <w:rPr>
          <w:shd w:val="clear" w:color="auto" w:fill="FFFFFF"/>
          <w:vertAlign w:val="superscript"/>
        </w:rPr>
        <w:footnoteRef/>
      </w:r>
      <w:r w:rsidRPr="00DD7203">
        <w:rPr>
          <w:shd w:val="clear" w:color="auto" w:fill="FFFFFF"/>
        </w:rPr>
        <w:t xml:space="preserve"> ‘The process of detecting for the presence of a face within a digital image and marking the area’ </w:t>
      </w:r>
    </w:p>
  </w:footnote>
  <w:footnote w:id="28">
    <w:p w14:paraId="204EB26C" w14:textId="77777777" w:rsidR="007507CA" w:rsidRPr="00DD7203" w:rsidRDefault="007507CA" w:rsidP="005E0A3C">
      <w:pPr>
        <w:pStyle w:val="Textonotapie"/>
        <w:rPr>
          <w:shd w:val="clear" w:color="auto" w:fill="FFFFFF"/>
        </w:rPr>
      </w:pPr>
      <w:r w:rsidRPr="00DD7203">
        <w:rPr>
          <w:shd w:val="clear" w:color="auto" w:fill="FFFFFF"/>
          <w:vertAlign w:val="superscript"/>
        </w:rPr>
        <w:footnoteRef/>
      </w:r>
      <w:r w:rsidRPr="00DD7203">
        <w:rPr>
          <w:shd w:val="clear" w:color="auto" w:fill="FFFFFF"/>
        </w:rPr>
        <w:t xml:space="preserve"> ‘The process to smooth variations across detected facial regions.’ </w:t>
      </w:r>
    </w:p>
  </w:footnote>
  <w:footnote w:id="29">
    <w:p w14:paraId="061F9AA7" w14:textId="77777777" w:rsidR="007507CA" w:rsidRPr="00DD7203" w:rsidRDefault="007507CA" w:rsidP="005E0A3C">
      <w:pPr>
        <w:pStyle w:val="Textonotapie"/>
        <w:rPr>
          <w:shd w:val="clear" w:color="auto" w:fill="FFFFFF"/>
        </w:rPr>
      </w:pPr>
      <w:r w:rsidRPr="00DD7203">
        <w:rPr>
          <w:shd w:val="clear" w:color="auto" w:fill="FFFFFF"/>
          <w:vertAlign w:val="superscript"/>
        </w:rPr>
        <w:footnoteRef/>
      </w:r>
      <w:r w:rsidRPr="00DD7203">
        <w:rPr>
          <w:shd w:val="clear" w:color="auto" w:fill="FFFFFF"/>
          <w:vertAlign w:val="superscript"/>
        </w:rPr>
        <w:t xml:space="preserve"> </w:t>
      </w:r>
      <w:r w:rsidRPr="00DD7203">
        <w:rPr>
          <w:shd w:val="clear" w:color="auto" w:fill="FFFFFF"/>
        </w:rPr>
        <w:t>‘The processing of isolating and outputting repeatable and distinctive readings from the digital image of an individual. Feature extraction can be holistic, feature-based or a combination of the two methods. The set of key features may be stored for later comparison in a reference template.’</w:t>
      </w:r>
    </w:p>
  </w:footnote>
  <w:footnote w:id="30">
    <w:p w14:paraId="057C9BBD" w14:textId="77777777" w:rsidR="007507CA" w:rsidRPr="00DD7203" w:rsidRDefault="007507CA" w:rsidP="005E0A3C">
      <w:pPr>
        <w:pStyle w:val="Textonotapie"/>
        <w:rPr>
          <w:shd w:val="clear" w:color="auto" w:fill="FFFFFF"/>
        </w:rPr>
      </w:pPr>
      <w:r w:rsidRPr="00DD7203">
        <w:rPr>
          <w:shd w:val="clear" w:color="auto" w:fill="FFFFFF"/>
          <w:vertAlign w:val="superscript"/>
        </w:rPr>
        <w:footnoteRef/>
      </w:r>
      <w:r w:rsidRPr="00DD7203">
        <w:rPr>
          <w:shd w:val="clear" w:color="auto" w:fill="FFFFFF"/>
          <w:vertAlign w:val="superscript"/>
        </w:rPr>
        <w:t xml:space="preserve"> </w:t>
      </w:r>
      <w:r w:rsidRPr="00DD7203">
        <w:rPr>
          <w:shd w:val="clear" w:color="auto" w:fill="FFFFFF"/>
        </w:rPr>
        <w:t>‘If this is the first time an individual has encountered the facial recognition system the image and/or reference template may be stored as a record for later comparison’.</w:t>
      </w:r>
    </w:p>
  </w:footnote>
  <w:footnote w:id="31">
    <w:p w14:paraId="186F5570" w14:textId="77777777" w:rsidR="007507CA" w:rsidRPr="00DD7203" w:rsidRDefault="007507CA" w:rsidP="005E0A3C">
      <w:pPr>
        <w:pStyle w:val="Textonotapie"/>
      </w:pPr>
      <w:r w:rsidRPr="00DD7203">
        <w:rPr>
          <w:shd w:val="clear" w:color="auto" w:fill="FFFFFF"/>
          <w:vertAlign w:val="superscript"/>
        </w:rPr>
        <w:footnoteRef/>
      </w:r>
      <w:r w:rsidRPr="00DD7203">
        <w:rPr>
          <w:shd w:val="clear" w:color="auto" w:fill="FFFFFF"/>
        </w:rPr>
        <w:t xml:space="preserve"> ‘The process of measuring the similarity between a set of features (the sample) with one previously enrolled in the system’.</w:t>
      </w:r>
    </w:p>
  </w:footnote>
  <w:footnote w:id="32">
    <w:p w14:paraId="27E77E19" w14:textId="509E57D1" w:rsidR="007507CA" w:rsidRPr="00DD7203" w:rsidRDefault="007507CA" w:rsidP="005E0A3C">
      <w:pPr>
        <w:pStyle w:val="Textonotapie"/>
        <w:rPr>
          <w:rStyle w:val="Fuerte"/>
          <w:b w:val="0"/>
          <w:bCs w:val="0"/>
          <w:color w:val="201F1E"/>
          <w:shd w:val="clear" w:color="auto" w:fill="FFFFFF"/>
        </w:rPr>
      </w:pPr>
      <w:r w:rsidRPr="00DD7203">
        <w:rPr>
          <w:rStyle w:val="Fuerte"/>
          <w:b w:val="0"/>
          <w:bCs w:val="0"/>
          <w:color w:val="201F1E"/>
          <w:shd w:val="clear" w:color="auto" w:fill="FFFFFF"/>
          <w:vertAlign w:val="superscript"/>
        </w:rPr>
        <w:footnoteRef/>
      </w:r>
      <w:r w:rsidRPr="00DD7203">
        <w:rPr>
          <w:rStyle w:val="Fuerte"/>
          <w:b w:val="0"/>
          <w:bCs w:val="0"/>
          <w:color w:val="201F1E"/>
          <w:shd w:val="clear" w:color="auto" w:fill="FFFFFF"/>
          <w:vertAlign w:val="superscript"/>
        </w:rPr>
        <w:t xml:space="preserve"> </w:t>
      </w:r>
      <w:r w:rsidRPr="00DD7203">
        <w:rPr>
          <w:rStyle w:val="Fuerte"/>
          <w:b w:val="0"/>
          <w:bCs w:val="0"/>
          <w:color w:val="201F1E"/>
          <w:shd w:val="clear" w:color="auto" w:fill="FFFFFF"/>
        </w:rPr>
        <w:t xml:space="preserve">Case No: CO/4085/2018. </w:t>
      </w:r>
    </w:p>
  </w:footnote>
  <w:footnote w:id="33">
    <w:p w14:paraId="76DD59BF" w14:textId="3597273C" w:rsidR="007507CA" w:rsidRPr="00DD7203" w:rsidRDefault="007507CA" w:rsidP="005E0A3C">
      <w:pPr>
        <w:pStyle w:val="Textonotapie"/>
        <w:rPr>
          <w:rStyle w:val="Fuerte"/>
          <w:b w:val="0"/>
          <w:bCs w:val="0"/>
          <w:color w:val="201F1E"/>
          <w:shd w:val="clear" w:color="auto" w:fill="FFFFFF"/>
        </w:rPr>
      </w:pPr>
      <w:r w:rsidRPr="00DD7203">
        <w:rPr>
          <w:rStyle w:val="Fuerte"/>
          <w:b w:val="0"/>
          <w:bCs w:val="0"/>
          <w:color w:val="201F1E"/>
          <w:shd w:val="clear" w:color="auto" w:fill="FFFFFF"/>
          <w:vertAlign w:val="superscript"/>
        </w:rPr>
        <w:footnoteRef/>
      </w:r>
      <w:r w:rsidRPr="00DD7203">
        <w:rPr>
          <w:rStyle w:val="Fuerte"/>
          <w:b w:val="0"/>
          <w:bCs w:val="0"/>
          <w:color w:val="201F1E"/>
          <w:shd w:val="clear" w:color="auto" w:fill="FFFFFF"/>
          <w:vertAlign w:val="superscript"/>
        </w:rPr>
        <w:t xml:space="preserve"> </w:t>
      </w:r>
      <w:r w:rsidRPr="00DD7203">
        <w:rPr>
          <w:rStyle w:val="Fuerte"/>
          <w:b w:val="0"/>
          <w:bCs w:val="0"/>
          <w:color w:val="201F1E"/>
          <w:shd w:val="clear" w:color="auto" w:fill="FFFFFF"/>
        </w:rPr>
        <w:t xml:space="preserve">‘AFR requires a database of existing facial images (referred to in this case as a “watchlist”) against which to compare facial images and the biometrics contained therein.  In order for such images to be used for AFR, they are processed so that the “facial features” associated with their subjects are extracted and expressed as numerical values’.  </w:t>
      </w:r>
    </w:p>
  </w:footnote>
  <w:footnote w:id="34">
    <w:p w14:paraId="24C8FE55" w14:textId="77777777" w:rsidR="007507CA" w:rsidRPr="00DD7203" w:rsidRDefault="007507CA" w:rsidP="005E0A3C">
      <w:pPr>
        <w:pStyle w:val="Textonotapie"/>
        <w:rPr>
          <w:rStyle w:val="Fuerte"/>
          <w:b w:val="0"/>
          <w:bCs w:val="0"/>
          <w:color w:val="201F1E"/>
          <w:shd w:val="clear" w:color="auto" w:fill="FFFFFF"/>
        </w:rPr>
      </w:pPr>
      <w:r w:rsidRPr="00DD7203">
        <w:rPr>
          <w:rStyle w:val="Fuerte"/>
          <w:b w:val="0"/>
          <w:bCs w:val="0"/>
          <w:color w:val="201F1E"/>
          <w:shd w:val="clear" w:color="auto" w:fill="FFFFFF"/>
          <w:vertAlign w:val="superscript"/>
        </w:rPr>
        <w:footnoteRef/>
      </w:r>
      <w:r w:rsidRPr="00DD7203">
        <w:rPr>
          <w:rStyle w:val="Fuerte"/>
          <w:b w:val="0"/>
          <w:bCs w:val="0"/>
          <w:color w:val="201F1E"/>
          <w:shd w:val="clear" w:color="auto" w:fill="FFFFFF"/>
        </w:rPr>
        <w:t xml:space="preserve"> ‘A CCTV camera (which could be mounted on e.g., a van, lamp post or contained in a handheld device) takes digital pictures of facial images in real time. This may be done by (i) taking a static photograph in a “controlled” environment (for example where an individual has her photograph taken at a border gate when presenting a passport); or (ii) capturing a moving image when a person passes into the camera’s field of view, using a live feed […]’</w:t>
      </w:r>
    </w:p>
  </w:footnote>
  <w:footnote w:id="35">
    <w:p w14:paraId="4DD1C5CA" w14:textId="77777777" w:rsidR="007507CA" w:rsidRPr="00DD7203" w:rsidRDefault="007507CA" w:rsidP="005E0A3C">
      <w:pPr>
        <w:pStyle w:val="Textonotapie"/>
        <w:rPr>
          <w:rStyle w:val="Fuerte"/>
          <w:b w:val="0"/>
          <w:bCs w:val="0"/>
          <w:color w:val="201F1E"/>
          <w:shd w:val="clear" w:color="auto" w:fill="FFFFFF"/>
        </w:rPr>
      </w:pPr>
      <w:r w:rsidRPr="00DD7203">
        <w:rPr>
          <w:rStyle w:val="Fuerte"/>
          <w:b w:val="0"/>
          <w:bCs w:val="0"/>
          <w:color w:val="201F1E"/>
          <w:shd w:val="clear" w:color="auto" w:fill="FFFFFF"/>
          <w:vertAlign w:val="superscript"/>
        </w:rPr>
        <w:footnoteRef/>
      </w:r>
      <w:r w:rsidRPr="00DD7203">
        <w:rPr>
          <w:rStyle w:val="Fuerte"/>
          <w:b w:val="0"/>
          <w:bCs w:val="0"/>
          <w:color w:val="201F1E"/>
          <w:shd w:val="clear" w:color="auto" w:fill="FFFFFF"/>
        </w:rPr>
        <w:t xml:space="preserve"> ‘Once a CCTV camera used in a live context captures footage, the software (i) detects human faces and then (ii) isolates individual faces’.</w:t>
      </w:r>
    </w:p>
  </w:footnote>
  <w:footnote w:id="36">
    <w:p w14:paraId="039DB818" w14:textId="77777777" w:rsidR="007507CA" w:rsidRPr="00DD7203" w:rsidRDefault="007507CA" w:rsidP="005E0A3C">
      <w:pPr>
        <w:pStyle w:val="Textonotapie"/>
        <w:rPr>
          <w:rStyle w:val="Fuerte"/>
          <w:b w:val="0"/>
          <w:bCs w:val="0"/>
          <w:color w:val="201F1E"/>
          <w:shd w:val="clear" w:color="auto" w:fill="FFFFFF"/>
        </w:rPr>
      </w:pPr>
      <w:r w:rsidRPr="00DD7203">
        <w:rPr>
          <w:rStyle w:val="Fuerte"/>
          <w:b w:val="0"/>
          <w:bCs w:val="0"/>
          <w:color w:val="201F1E"/>
          <w:shd w:val="clear" w:color="auto" w:fill="FFFFFF"/>
          <w:vertAlign w:val="superscript"/>
        </w:rPr>
        <w:footnoteRef/>
      </w:r>
      <w:r w:rsidRPr="00DD7203">
        <w:rPr>
          <w:rStyle w:val="Fuerte"/>
          <w:b w:val="0"/>
          <w:bCs w:val="0"/>
          <w:color w:val="201F1E"/>
          <w:shd w:val="clear" w:color="auto" w:fill="FFFFFF"/>
        </w:rPr>
        <w:t xml:space="preserve"> ‘Taking the faces identified and isolated through “face detection”, the software automatically extracts unique facial features from the image of each face, the resulting biometric template being unique to that image’.  </w:t>
      </w:r>
    </w:p>
  </w:footnote>
  <w:footnote w:id="37">
    <w:p w14:paraId="54AC1ECC" w14:textId="77777777" w:rsidR="007507CA" w:rsidRPr="00DD7203" w:rsidRDefault="007507CA" w:rsidP="005E0A3C">
      <w:pPr>
        <w:pStyle w:val="Textonotapie"/>
        <w:rPr>
          <w:rStyle w:val="Fuerte"/>
          <w:b w:val="0"/>
          <w:bCs w:val="0"/>
          <w:color w:val="201F1E"/>
          <w:shd w:val="clear" w:color="auto" w:fill="FFFFFF"/>
        </w:rPr>
      </w:pPr>
      <w:r w:rsidRPr="00DD7203">
        <w:rPr>
          <w:rStyle w:val="Fuerte"/>
          <w:b w:val="0"/>
          <w:bCs w:val="0"/>
          <w:color w:val="201F1E"/>
          <w:shd w:val="clear" w:color="auto" w:fill="FFFFFF"/>
          <w:vertAlign w:val="superscript"/>
        </w:rPr>
        <w:footnoteRef/>
      </w:r>
      <w:r w:rsidRPr="00DD7203">
        <w:rPr>
          <w:rStyle w:val="Fuerte"/>
          <w:b w:val="0"/>
          <w:bCs w:val="0"/>
          <w:color w:val="201F1E"/>
          <w:shd w:val="clear" w:color="auto" w:fill="FFFFFF"/>
        </w:rPr>
        <w:t xml:space="preserve"> ‘The AFR software compares the extracted facial features with those contained in the facial images held on the watchlist’.</w:t>
      </w:r>
    </w:p>
  </w:footnote>
  <w:footnote w:id="38">
    <w:p w14:paraId="6A266D25" w14:textId="76163102" w:rsidR="007507CA" w:rsidRPr="00DD7203" w:rsidRDefault="007507CA" w:rsidP="005E0A3C">
      <w:pPr>
        <w:pStyle w:val="Textonotapie"/>
      </w:pPr>
      <w:r w:rsidRPr="00DD7203">
        <w:rPr>
          <w:rStyle w:val="Fuerte"/>
          <w:b w:val="0"/>
          <w:bCs w:val="0"/>
          <w:color w:val="201F1E"/>
          <w:shd w:val="clear" w:color="auto" w:fill="FFFFFF"/>
          <w:vertAlign w:val="superscript"/>
        </w:rPr>
        <w:footnoteRef/>
      </w:r>
      <w:r w:rsidRPr="00DD7203">
        <w:rPr>
          <w:rStyle w:val="Fuerte"/>
          <w:b w:val="0"/>
          <w:bCs w:val="0"/>
          <w:color w:val="201F1E"/>
          <w:shd w:val="clear" w:color="auto" w:fill="FFFFFF"/>
        </w:rPr>
        <w:t xml:space="preserve"> ‘When facial features from two images are compared, the AFR software generates a “similarity score”. This is a numerical value indicating the likelihood that the faces match, with a higher number indicating a greater likelihood of a positive match between the two faces. A threshold value is fixed to determine when the software will indicate that a match has occurred. Fixing this value too low or too high can, respectively, create risks of a high “false alarm rate” (i.e. the percentage of incorrect </w:t>
      </w:r>
      <w:r w:rsidRPr="00DD7203">
        <w:t xml:space="preserve">matches identified by the software) or a high “false reject rate” (i.e. the percentage of true matches that are not in fact matched by the software).  </w:t>
      </w:r>
    </w:p>
  </w:footnote>
  <w:footnote w:id="39">
    <w:p w14:paraId="60529A8E" w14:textId="708CEBBC" w:rsidR="007507CA" w:rsidRPr="00DD7203" w:rsidRDefault="007507CA" w:rsidP="005E0A3C">
      <w:pPr>
        <w:pStyle w:val="Textonotapie"/>
      </w:pPr>
      <w:r w:rsidRPr="00DD7203">
        <w:rPr>
          <w:rStyle w:val="Refdenotaalpie"/>
        </w:rPr>
        <w:footnoteRef/>
      </w:r>
      <w:r w:rsidRPr="00DD7203">
        <w:t xml:space="preserve"> </w:t>
      </w:r>
      <w:r w:rsidRPr="00DD7203">
        <w:rPr>
          <w:rStyle w:val="Fuerte"/>
          <w:b w:val="0"/>
          <w:bCs w:val="0"/>
          <w:color w:val="201F1E"/>
          <w:shd w:val="clear" w:color="auto" w:fill="FFFFFF"/>
        </w:rPr>
        <w:t>The final decision by the Court of Appeal (Civil Division) (Case No: C1/2019/2670) might be found here: &lt; https://www.judiciary.uk/wp-content/uploads/2020/08/R-Bridges-v-CC-South-Wales-ors-Judgment.pdf&gt;</w:t>
      </w:r>
    </w:p>
  </w:footnote>
  <w:footnote w:id="40">
    <w:p w14:paraId="5F361A01" w14:textId="77777777" w:rsidR="007507CA" w:rsidRPr="00DD7203" w:rsidRDefault="007507CA" w:rsidP="005E0A3C">
      <w:pPr>
        <w:pStyle w:val="Textonotapie"/>
        <w:rPr>
          <w:i/>
          <w:iCs/>
          <w:shd w:val="clear" w:color="auto" w:fill="FFFFFF"/>
        </w:rPr>
      </w:pPr>
      <w:r w:rsidRPr="00DD7203">
        <w:rPr>
          <w:rStyle w:val="Refdenotaalpie"/>
        </w:rPr>
        <w:footnoteRef/>
      </w:r>
      <w:r w:rsidRPr="00DD7203">
        <w:t xml:space="preserve"> </w:t>
      </w:r>
      <w:r w:rsidRPr="00DD7203">
        <w:rPr>
          <w:bCs/>
          <w:color w:val="111111"/>
          <w:bdr w:val="none" w:sz="0" w:space="0" w:color="auto" w:frame="1"/>
          <w:lang w:eastAsia="es-ES"/>
        </w:rPr>
        <w:t>Assembly Bill No. 375 (</w:t>
      </w:r>
      <w:r w:rsidRPr="00DD7203">
        <w:rPr>
          <w:bdr w:val="none" w:sz="0" w:space="0" w:color="auto" w:frame="1"/>
          <w:lang w:eastAsia="es-ES"/>
        </w:rPr>
        <w:t>An act to add Title 1.81.5 to Part 4 of Division of the Civil Code, relating to priv</w:t>
      </w:r>
      <w:r w:rsidRPr="00DD7203">
        <w:rPr>
          <w:shd w:val="clear" w:color="auto" w:fill="FFFFFF"/>
        </w:rPr>
        <w:t>acy).</w:t>
      </w:r>
    </w:p>
  </w:footnote>
  <w:footnote w:id="41">
    <w:p w14:paraId="399071FA" w14:textId="77777777" w:rsidR="007507CA" w:rsidRPr="00DD7203" w:rsidRDefault="007507CA" w:rsidP="005E0A3C">
      <w:pPr>
        <w:pStyle w:val="Textonotapie"/>
      </w:pPr>
      <w:r w:rsidRPr="00DD7203">
        <w:rPr>
          <w:rStyle w:val="Refdenotaalpie"/>
        </w:rPr>
        <w:footnoteRef/>
      </w:r>
      <w:r w:rsidRPr="00DD7203">
        <w:t xml:space="preserve"> ‘A physiological, biological, or behavioural characteristic that can be used, singly or in combination with each other or with other information, to establish individual identity’.</w:t>
      </w:r>
    </w:p>
  </w:footnote>
  <w:footnote w:id="42">
    <w:p w14:paraId="757166F3" w14:textId="77777777" w:rsidR="007507CA" w:rsidRPr="00DD7203" w:rsidRDefault="007507CA" w:rsidP="005E0A3C">
      <w:pPr>
        <w:pStyle w:val="Textonotapie"/>
      </w:pPr>
      <w:r w:rsidRPr="00DD7203">
        <w:rPr>
          <w:rStyle w:val="Refdenotaalpie"/>
        </w:rPr>
        <w:footnoteRef/>
      </w:r>
      <w:r w:rsidRPr="00DD7203">
        <w:t xml:space="preserve"> ‘Any computer software or application that performs facial recognition or other biometric surveillance.’</w:t>
      </w:r>
    </w:p>
  </w:footnote>
  <w:footnote w:id="43">
    <w:p w14:paraId="1A875E08" w14:textId="77777777" w:rsidR="007507CA" w:rsidRPr="00DD7203" w:rsidRDefault="007507CA" w:rsidP="005E0A3C">
      <w:pPr>
        <w:pStyle w:val="Textonotapie"/>
      </w:pPr>
      <w:r w:rsidRPr="00DD7203">
        <w:rPr>
          <w:rStyle w:val="Refdenotaalpie"/>
        </w:rPr>
        <w:footnoteRef/>
      </w:r>
      <w:r w:rsidRPr="00DD7203">
        <w:t xml:space="preserve"> ‘Either of the following, alone or in combination: (A) Any information about a known or unknown individual, including, but not limited to, a person’s name, date of birth, gender, or criminal background. (B)  Any information derived from biometric data, including, but not limited to, assessments about an individual’s sentiment, state of mind, or level of dangerousness’.</w:t>
      </w:r>
    </w:p>
  </w:footnote>
  <w:footnote w:id="44">
    <w:p w14:paraId="245954AB" w14:textId="3ED0E329" w:rsidR="007507CA" w:rsidRPr="00DD7203" w:rsidRDefault="007507CA" w:rsidP="005E0A3C">
      <w:pPr>
        <w:pStyle w:val="Textonotapie"/>
      </w:pPr>
      <w:r w:rsidRPr="00DD7203">
        <w:rPr>
          <w:rStyle w:val="Refdenotaalpie"/>
        </w:rPr>
        <w:footnoteRef/>
      </w:r>
      <w:r w:rsidRPr="00DD7203">
        <w:t xml:space="preserve"> </w:t>
      </w:r>
      <w:r w:rsidRPr="00DD7203">
        <w:rPr>
          <w:shd w:val="clear" w:color="auto" w:fill="FFFFFF"/>
        </w:rPr>
        <w:t>Face Surveillance Full Ban Ordinance V2-1 (City of Somerville</w:t>
      </w:r>
      <w:r w:rsidRPr="00DD7203">
        <w:t xml:space="preserve">, </w:t>
      </w:r>
      <w:r w:rsidRPr="00DD7203">
        <w:rPr>
          <w:shd w:val="clear" w:color="auto" w:fill="FFFFFF"/>
        </w:rPr>
        <w:t>Massachusetts) Available at &lt;</w:t>
      </w:r>
      <w:r w:rsidRPr="00DD7203">
        <w:t xml:space="preserve"> </w:t>
      </w:r>
      <w:r w:rsidRPr="00DD7203">
        <w:rPr>
          <w:shd w:val="clear" w:color="auto" w:fill="FFFFFF"/>
        </w:rPr>
        <w:t xml:space="preserve">http://somervillecityma.iqm2.com/Citizens/Detail_LegiFile.aspx?ID=20991&gt; </w:t>
      </w:r>
    </w:p>
  </w:footnote>
  <w:footnote w:id="45">
    <w:p w14:paraId="4EC2CC8D" w14:textId="17E3E542" w:rsidR="007507CA" w:rsidRPr="00DD7203" w:rsidRDefault="007507CA" w:rsidP="005E0A3C">
      <w:pPr>
        <w:pStyle w:val="Textonotapie"/>
      </w:pPr>
      <w:r w:rsidRPr="00DD7203">
        <w:rPr>
          <w:rStyle w:val="Refdenotaalpie"/>
        </w:rPr>
        <w:footnoteRef/>
      </w:r>
      <w:r w:rsidRPr="00DD7203">
        <w:t xml:space="preserve"> </w:t>
      </w:r>
      <w:r w:rsidRPr="00DD7203">
        <w:rPr>
          <w:bCs/>
          <w:color w:val="111111"/>
          <w:bdr w:val="none" w:sz="0" w:space="0" w:color="auto" w:frame="1"/>
          <w:lang w:eastAsia="es-ES"/>
        </w:rPr>
        <w:t>Assembly Bill No. 375 (</w:t>
      </w:r>
      <w:r w:rsidRPr="00DD7203">
        <w:rPr>
          <w:bdr w:val="none" w:sz="0" w:space="0" w:color="auto" w:frame="1"/>
          <w:lang w:eastAsia="es-ES"/>
        </w:rPr>
        <w:t>An act to add Title 1.81.5 to Part 4 of Division of the Civil Code, relating to priv</w:t>
      </w:r>
      <w:r w:rsidRPr="00DD7203">
        <w:rPr>
          <w:shd w:val="clear" w:color="auto" w:fill="FFFFFF"/>
        </w:rPr>
        <w:t>acy).</w:t>
      </w:r>
    </w:p>
  </w:footnote>
  <w:footnote w:id="46">
    <w:p w14:paraId="562F2628" w14:textId="77777777" w:rsidR="007507CA" w:rsidRPr="00DD7203" w:rsidRDefault="007507CA" w:rsidP="005E0A3C">
      <w:pPr>
        <w:pStyle w:val="Textonotapie"/>
      </w:pPr>
      <w:r w:rsidRPr="00DD7203">
        <w:rPr>
          <w:rStyle w:val="Refdenotaalpie"/>
        </w:rPr>
        <w:footnoteRef/>
      </w:r>
      <w:r w:rsidRPr="00DD7203">
        <w:t xml:space="preserve"> This regulatory instrument is the first modern legislation specifically dedicated to the construction of guardrails for the usage of FRT, enacted by a state or country. It was passed in March 2020 and will be in force the following year.</w:t>
      </w:r>
    </w:p>
  </w:footnote>
  <w:footnote w:id="47">
    <w:p w14:paraId="69D7B0C8" w14:textId="77777777" w:rsidR="007507CA" w:rsidRPr="00DD7203" w:rsidRDefault="007507CA" w:rsidP="005E0A3C">
      <w:pPr>
        <w:pStyle w:val="Textonotapie"/>
      </w:pPr>
      <w:r w:rsidRPr="00DD7203">
        <w:rPr>
          <w:rStyle w:val="Refdenotaalpie"/>
        </w:rPr>
        <w:footnoteRef/>
      </w:r>
      <w:r w:rsidRPr="00DD7203">
        <w:t xml:space="preserve"> ‘[T]he process by which a facial recognition service creates a facial template from one or more images of an individual and adds the facial template to a gallery used by the facial recognition service for recognition or persistent tracking of individuals. It also includes the act of adding an existing facial template directly into a gallery used by a Facial recognition service’</w:t>
      </w:r>
    </w:p>
  </w:footnote>
  <w:footnote w:id="48">
    <w:p w14:paraId="12A5EA36" w14:textId="77777777" w:rsidR="007507CA" w:rsidRPr="00DD7203" w:rsidRDefault="007507CA" w:rsidP="005E0A3C">
      <w:pPr>
        <w:pStyle w:val="Textonotapie"/>
      </w:pPr>
      <w:r w:rsidRPr="00DD7203">
        <w:rPr>
          <w:rStyle w:val="Refdenotaalpie"/>
        </w:rPr>
        <w:footnoteRef/>
      </w:r>
      <w:r w:rsidRPr="00DD7203">
        <w:t xml:space="preserve"> ‘[T]he machine-interpretable pattern of facial features that is extracted from one or more images of an individual by a facial recognition service’</w:t>
      </w:r>
    </w:p>
  </w:footnote>
  <w:footnote w:id="49">
    <w:p w14:paraId="205A3EEC" w14:textId="77777777" w:rsidR="007507CA" w:rsidRPr="00DD7203" w:rsidRDefault="007507CA" w:rsidP="005E0A3C">
      <w:pPr>
        <w:pStyle w:val="Textonotapie"/>
      </w:pPr>
      <w:r w:rsidRPr="00DD7203">
        <w:rPr>
          <w:rStyle w:val="Refdenotaalpie"/>
        </w:rPr>
        <w:footnoteRef/>
      </w:r>
      <w:r w:rsidRPr="00DD7203">
        <w:t xml:space="preserve"> ‘[T]he use of a facial recognition service by a state or local government agency to determine whether an unknown individual matches any individual whose identity is known to the state or local government agency and who has been enrolled by reference to that identity in a gallery used by the facial recognition service’.</w:t>
      </w:r>
    </w:p>
  </w:footnote>
  <w:footnote w:id="50">
    <w:p w14:paraId="412CB4E2" w14:textId="77777777" w:rsidR="007507CA" w:rsidRPr="00DD7203" w:rsidRDefault="007507CA" w:rsidP="005E0A3C">
      <w:pPr>
        <w:pStyle w:val="Textonotapie"/>
      </w:pPr>
      <w:r w:rsidRPr="00DD7203">
        <w:rPr>
          <w:rStyle w:val="Refdenotaalpie"/>
        </w:rPr>
        <w:footnoteRef/>
      </w:r>
      <w:r w:rsidRPr="00DD7203">
        <w:t xml:space="preserve">  ‘[T]he use of a facial recognition service by a state or local government agency to determine whether an unknown individual matches: (a) Any individual who has been enrolled in a gallery used by the facial recognition service; or (b) A specific individual who has been enrolled in a gallery used by the facial recognition service’.</w:t>
      </w:r>
    </w:p>
  </w:footnote>
  <w:footnote w:id="51">
    <w:p w14:paraId="6B241113" w14:textId="77777777" w:rsidR="007507CA" w:rsidRPr="00DD7203" w:rsidRDefault="007507CA" w:rsidP="005E0A3C">
      <w:pPr>
        <w:pStyle w:val="Textonotapie"/>
      </w:pPr>
      <w:r w:rsidRPr="00DD7203">
        <w:rPr>
          <w:rStyle w:val="Refdenotaalpie"/>
        </w:rPr>
        <w:footnoteRef/>
      </w:r>
      <w:r w:rsidRPr="00DD7203">
        <w:t xml:space="preserve"> ‘[T]he use of a facial recognition service by a state or local government agency to determine whether an individual is a specific individual whose identity is known to the state or local government agency and who has been enrolled by reference to that identity in a gallery used by the facial recognition service’.</w:t>
      </w:r>
    </w:p>
  </w:footnote>
  <w:footnote w:id="52">
    <w:p w14:paraId="61AFF0F9" w14:textId="77777777" w:rsidR="007507CA" w:rsidRPr="00DD7203" w:rsidRDefault="007507CA" w:rsidP="005E0A3C">
      <w:pPr>
        <w:pStyle w:val="Textonotapie"/>
      </w:pPr>
      <w:r w:rsidRPr="00DD7203">
        <w:rPr>
          <w:rStyle w:val="Refdenotaalpie"/>
        </w:rPr>
        <w:footnoteRef/>
      </w:r>
      <w:r w:rsidRPr="00DD7203">
        <w:t xml:space="preserve"> ‘[U]sing a facial recognition service to track the physical movements of a specified individual through one or more public places over time, whether in real time or through application of a facial recognition service to historical records. It does not include a single recognition or attempted recognition of an individual, if no attempt is made to subsequently track that individual's movement over time after they have been recognized.’</w:t>
      </w:r>
    </w:p>
  </w:footnote>
  <w:footnote w:id="53">
    <w:p w14:paraId="35BC7007" w14:textId="77777777" w:rsidR="007507CA" w:rsidRPr="00DD7203" w:rsidRDefault="007507CA" w:rsidP="005E0A3C">
      <w:pPr>
        <w:pStyle w:val="Textonotapie"/>
      </w:pPr>
      <w:r w:rsidRPr="00DD7203">
        <w:rPr>
          <w:rStyle w:val="Refdenotaalpie"/>
        </w:rPr>
        <w:footnoteRef/>
      </w:r>
      <w:r w:rsidRPr="00DD7203">
        <w:t xml:space="preserve"> ‘[T]he use of a facial recognition service by a state or local government agency to track the movements of an individual on a persistent basis without identification or verification of that individual. Such tracking becomes persistent as soon as: (a) The facial template that permits the tracking is maintained for more than forty-eight hours after first enrolling that template; or (b) Data created by the facial recognition service is linked to any other data such that the individual who has been tracked is identified or identifiable’.</w:t>
      </w:r>
    </w:p>
  </w:footnote>
  <w:footnote w:id="54">
    <w:p w14:paraId="1B72C94C" w14:textId="77777777" w:rsidR="007507CA" w:rsidRPr="00DD7203" w:rsidRDefault="007507CA" w:rsidP="005E0A3C">
      <w:pPr>
        <w:pStyle w:val="Textonotapie"/>
      </w:pPr>
      <w:r w:rsidRPr="00DD7203">
        <w:rPr>
          <w:rStyle w:val="Refdenotaalpie"/>
        </w:rPr>
        <w:footnoteRef/>
      </w:r>
      <w:r w:rsidRPr="00DD7203">
        <w:t xml:space="preserve"> ‘[A] report developed in accordance with section 3 of this act’.</w:t>
      </w:r>
    </w:p>
  </w:footnote>
  <w:footnote w:id="55">
    <w:p w14:paraId="1DA12168" w14:textId="77777777" w:rsidR="007507CA" w:rsidRPr="00DD7203" w:rsidRDefault="007507CA" w:rsidP="005E0A3C">
      <w:pPr>
        <w:pStyle w:val="Textonotapie"/>
      </w:pPr>
      <w:r w:rsidRPr="00DD7203">
        <w:rPr>
          <w:rStyle w:val="Refdenotaalpie"/>
        </w:rPr>
        <w:footnoteRef/>
      </w:r>
      <w:r w:rsidRPr="00DD7203">
        <w:t xml:space="preserve"> ‘[R]eview or oversight by one or more individuals who are trained in accordance with section 7 of this act and who have the authority to alter the decision under review.’</w:t>
      </w:r>
    </w:p>
  </w:footnote>
  <w:footnote w:id="56">
    <w:p w14:paraId="1DA090DF" w14:textId="77777777" w:rsidR="007507CA" w:rsidRPr="00DD7203" w:rsidRDefault="007507CA" w:rsidP="005E0A3C">
      <w:pPr>
        <w:pStyle w:val="Textonotapie"/>
      </w:pPr>
      <w:r w:rsidRPr="00DD7203">
        <w:rPr>
          <w:rStyle w:val="Refdenotaalpie"/>
        </w:rPr>
        <w:footnoteRef/>
      </w:r>
      <w:r w:rsidRPr="00DD7203">
        <w:t xml:space="preserve"> Patel v. Facebook, Inc., No. 18-15982 (9th Cir. 2019)</w:t>
      </w:r>
    </w:p>
  </w:footnote>
  <w:footnote w:id="57">
    <w:p w14:paraId="33E28438" w14:textId="289E6D50" w:rsidR="007507CA" w:rsidRPr="00DD7203" w:rsidRDefault="007507CA" w:rsidP="005E0A3C">
      <w:pPr>
        <w:pStyle w:val="Textonotapie"/>
      </w:pPr>
      <w:r w:rsidRPr="00DD7203">
        <w:rPr>
          <w:vertAlign w:val="superscript"/>
        </w:rPr>
        <w:footnoteRef/>
      </w:r>
      <w:r w:rsidRPr="00DD7203">
        <w:t xml:space="preserve"> &lt;https://epic.org/amicus/bipa/patel-v-facebook/&gt; </w:t>
      </w:r>
    </w:p>
  </w:footnote>
  <w:footnote w:id="58">
    <w:p w14:paraId="13F71D95" w14:textId="60D458E6" w:rsidR="007507CA" w:rsidRPr="00DD7203" w:rsidRDefault="007507CA" w:rsidP="005E0A3C">
      <w:pPr>
        <w:pStyle w:val="Textonotapie"/>
      </w:pPr>
      <w:r w:rsidRPr="00DD7203">
        <w:rPr>
          <w:rStyle w:val="Refdenotaalpie"/>
        </w:rPr>
        <w:footnoteRef/>
      </w:r>
      <w:r w:rsidRPr="00DD7203">
        <w:t xml:space="preserve"> &lt;https://jolt.law.harvard.edu/digest/patel-v-facebook-facebook-settles-illinois-biometric-information-privacy-act-bipa-violation-suit&gt; </w:t>
      </w:r>
    </w:p>
  </w:footnote>
  <w:footnote w:id="59">
    <w:p w14:paraId="2EB35C38" w14:textId="77777777" w:rsidR="007507CA" w:rsidRPr="00DD7203" w:rsidRDefault="007507CA" w:rsidP="005E0A3C">
      <w:pPr>
        <w:pStyle w:val="Textonotapie"/>
      </w:pPr>
      <w:r w:rsidRPr="00DD7203">
        <w:rPr>
          <w:rStyle w:val="Refdenotaalpie"/>
        </w:rPr>
        <w:footnoteRef/>
      </w:r>
      <w:r w:rsidRPr="00DD7203">
        <w:t xml:space="preserve"> Carpenter v. United States </w:t>
      </w:r>
      <w:r w:rsidRPr="00DD7203">
        <w:rPr>
          <w:shd w:val="clear" w:color="auto" w:fill="FFFFFF"/>
        </w:rPr>
        <w:t>No. 16-402, 585 U.S. (2018)</w:t>
      </w:r>
    </w:p>
  </w:footnote>
  <w:footnote w:id="60">
    <w:p w14:paraId="4FDD8913" w14:textId="77777777" w:rsidR="007507CA" w:rsidRPr="00DD7203" w:rsidRDefault="007507CA" w:rsidP="005E0A3C">
      <w:pPr>
        <w:pStyle w:val="Textonotapie"/>
      </w:pPr>
      <w:r w:rsidRPr="00DD7203">
        <w:rPr>
          <w:rStyle w:val="Refdenotaalpie"/>
        </w:rPr>
        <w:footnoteRef/>
      </w:r>
      <w:r w:rsidRPr="00DD7203">
        <w:t xml:space="preserve"> Article 5.1.b GDPR: ‘</w:t>
      </w:r>
      <w:r w:rsidRPr="00DD7203">
        <w:rPr>
          <w:shd w:val="clear" w:color="auto" w:fill="FFFFFF"/>
        </w:rPr>
        <w:t>Personal data shall be […] collected for specified, explicit and legitimate purposes and not further processed in a manner that is incompatible with those purposes […]’</w:t>
      </w:r>
    </w:p>
  </w:footnote>
  <w:footnote w:id="61">
    <w:p w14:paraId="79E09BBC" w14:textId="77777777" w:rsidR="007507CA" w:rsidRPr="00DD7203" w:rsidRDefault="007507CA" w:rsidP="005E0A3C">
      <w:pPr>
        <w:pStyle w:val="Textonotapie"/>
      </w:pPr>
      <w:r w:rsidRPr="00DD7203">
        <w:rPr>
          <w:rStyle w:val="Refdenotaalpie"/>
        </w:rPr>
        <w:footnoteRef/>
      </w:r>
      <w:r w:rsidRPr="00DD7203">
        <w:t xml:space="preserve"> </w:t>
      </w:r>
      <w:r w:rsidRPr="00DD7203">
        <w:rPr>
          <w:shd w:val="clear" w:color="auto" w:fill="FFFFFF"/>
        </w:rPr>
        <w:t>‘Divided, Part 2: The Chaos of Reunification’ hosted by Annie Correal and Caitlin Dickerson; produced by Lynsea Garrison and Rachel Quester, with help from Andy Mills; and edited by Wendy Dorr and Lisa Tobin.</w:t>
      </w:r>
    </w:p>
  </w:footnote>
  <w:footnote w:id="62">
    <w:p w14:paraId="70CD2BD9" w14:textId="4D634A4B" w:rsidR="007507CA" w:rsidRPr="00DD7203" w:rsidRDefault="007507CA" w:rsidP="005E0A3C">
      <w:pPr>
        <w:pStyle w:val="Textonotapie"/>
        <w:rPr>
          <w:lang w:val="fr-FR"/>
        </w:rPr>
      </w:pPr>
      <w:r w:rsidRPr="00DD7203">
        <w:rPr>
          <w:shd w:val="clear" w:color="auto" w:fill="FFFFFF"/>
          <w:vertAlign w:val="superscript"/>
        </w:rPr>
        <w:footnoteRef/>
      </w:r>
      <w:r w:rsidRPr="00DD7203">
        <w:rPr>
          <w:i/>
          <w:iCs/>
          <w:shd w:val="clear" w:color="auto" w:fill="FFFFFF"/>
        </w:rPr>
        <w:t xml:space="preserve"> &lt;</w:t>
      </w:r>
      <w:r w:rsidRPr="00DD7203">
        <w:rPr>
          <w:shd w:val="clear" w:color="auto" w:fill="FFFFFF"/>
        </w:rPr>
        <w:t xml:space="preserve">https://edps.europa.eu/press-publications/press-news/blog/facial-recognition-solution-search-problem_en&gt; </w:t>
      </w:r>
    </w:p>
  </w:footnote>
  <w:footnote w:id="63">
    <w:p w14:paraId="0A18088A" w14:textId="7525F7CF" w:rsidR="007507CA" w:rsidRPr="00F1200D" w:rsidRDefault="007507CA" w:rsidP="005E0A3C">
      <w:pPr>
        <w:pStyle w:val="Textonotapie"/>
        <w:rPr>
          <w:lang w:val="fr-FR"/>
        </w:rPr>
      </w:pPr>
      <w:r w:rsidRPr="00DD7203">
        <w:rPr>
          <w:rStyle w:val="Refdenotaalpie"/>
        </w:rPr>
        <w:footnoteRef/>
      </w:r>
      <w:r w:rsidRPr="00F1200D">
        <w:rPr>
          <w:lang w:val="fr-FR"/>
        </w:rPr>
        <w:t xml:space="preserve"> &lt;https://www.nbcnews.com/news/us-news/fight-over-facial-recognition-dividing-detroit-high-stakes-police-privacy-n1045046&gt; </w:t>
      </w:r>
    </w:p>
    <w:p w14:paraId="570C4E67" w14:textId="4CA0B4DD" w:rsidR="007507CA" w:rsidRPr="00F1200D" w:rsidRDefault="007507CA" w:rsidP="005E0A3C">
      <w:pPr>
        <w:pStyle w:val="Textonotapie"/>
        <w:rPr>
          <w:lang w:val="fr-FR"/>
        </w:rPr>
      </w:pPr>
      <w:r w:rsidRPr="00F1200D">
        <w:rPr>
          <w:lang w:val="fr-FR"/>
        </w:rPr>
        <w:t xml:space="preserve">&lt;https://www.thetimes.co.uk/article/police-face-recognition-software-wrong-80-of-time-rjp6jdpl6&gt; </w:t>
      </w:r>
    </w:p>
    <w:p w14:paraId="0E28AF12" w14:textId="4C475515" w:rsidR="007507CA" w:rsidRPr="00F1200D" w:rsidRDefault="007507CA" w:rsidP="005E0A3C">
      <w:pPr>
        <w:pStyle w:val="Textonotapie"/>
        <w:rPr>
          <w:lang w:val="fr-FR"/>
        </w:rPr>
      </w:pPr>
      <w:r w:rsidRPr="00F1200D">
        <w:rPr>
          <w:lang w:val="fr-FR"/>
        </w:rPr>
        <w:t xml:space="preserve">&lt;https://www.sfchronicle.com/bayarea/article/Oakland-bans-use-of-facial-recognition-14101253.php&gt; </w:t>
      </w:r>
    </w:p>
    <w:p w14:paraId="49D0FD5C" w14:textId="6797D574" w:rsidR="007507CA" w:rsidRPr="00F1200D" w:rsidRDefault="007507CA" w:rsidP="005E0A3C">
      <w:pPr>
        <w:pStyle w:val="Textonotapie"/>
        <w:rPr>
          <w:lang w:val="fr-FR"/>
        </w:rPr>
      </w:pPr>
      <w:r w:rsidRPr="00F1200D">
        <w:rPr>
          <w:lang w:val="fr-FR"/>
        </w:rPr>
        <w:t xml:space="preserve">&lt;https://eu.usatoday.com/story/tech/2019/12/03/facial-recognition-portland-oregon-ban/2601966001/&gt; </w:t>
      </w:r>
    </w:p>
  </w:footnote>
  <w:footnote w:id="64">
    <w:p w14:paraId="7194989F" w14:textId="46E4A047" w:rsidR="007507CA" w:rsidRPr="00F1200D" w:rsidRDefault="007507CA" w:rsidP="005E0A3C">
      <w:pPr>
        <w:pStyle w:val="Textonotapie"/>
        <w:rPr>
          <w:lang w:val="fr-FR"/>
        </w:rPr>
      </w:pPr>
      <w:r w:rsidRPr="00DD7203">
        <w:rPr>
          <w:rStyle w:val="Refdenotaalpie"/>
        </w:rPr>
        <w:footnoteRef/>
      </w:r>
      <w:r w:rsidRPr="00F1200D">
        <w:rPr>
          <w:lang w:val="fr-FR"/>
        </w:rPr>
        <w:t xml:space="preserve"> &lt;https://blogs.microsoft.com/on-the-issues/2018/12/17/six-principles-to-guide-microsofts-facial-recognition-work/&gt; </w:t>
      </w:r>
    </w:p>
    <w:p w14:paraId="6CB002AC" w14:textId="41985023" w:rsidR="007507CA" w:rsidRPr="00F1200D" w:rsidRDefault="007507CA" w:rsidP="005E0A3C">
      <w:pPr>
        <w:pStyle w:val="Textonotapie"/>
        <w:rPr>
          <w:lang w:val="fr-FR"/>
        </w:rPr>
      </w:pPr>
      <w:r w:rsidRPr="00F1200D">
        <w:rPr>
          <w:lang w:val="fr-FR"/>
        </w:rPr>
        <w:t xml:space="preserve">&lt;https://blogs.microsoft.com/on-the-issues/2018/12/06/facial-recognition-its-time-for-action/&gt; </w:t>
      </w:r>
    </w:p>
  </w:footnote>
  <w:footnote w:id="65">
    <w:p w14:paraId="66B04EC7" w14:textId="0B472D6E" w:rsidR="007507CA" w:rsidRPr="00F1200D" w:rsidRDefault="007507CA" w:rsidP="005E0A3C">
      <w:pPr>
        <w:pStyle w:val="Textonotapie"/>
        <w:rPr>
          <w:lang w:val="fr-FR"/>
        </w:rPr>
      </w:pPr>
      <w:r w:rsidRPr="00DD7203">
        <w:rPr>
          <w:shd w:val="clear" w:color="auto" w:fill="FFFFFF"/>
          <w:vertAlign w:val="superscript"/>
        </w:rPr>
        <w:footnoteRef/>
      </w:r>
      <w:r w:rsidRPr="00F1200D">
        <w:rPr>
          <w:shd w:val="clear" w:color="auto" w:fill="FFFFFF"/>
          <w:vertAlign w:val="superscript"/>
          <w:lang w:val="fr-FR"/>
        </w:rPr>
        <w:t xml:space="preserve"> &lt;</w:t>
      </w:r>
      <w:r w:rsidRPr="00F1200D">
        <w:rPr>
          <w:shd w:val="clear" w:color="auto" w:fill="FFFFFF"/>
          <w:lang w:val="fr-FR"/>
        </w:rPr>
        <w:t xml:space="preserve">https://www.nytimes.com/2018/07/13/technology/microsoft-facial-recognition.html&gt; </w:t>
      </w:r>
    </w:p>
  </w:footnote>
  <w:footnote w:id="66">
    <w:p w14:paraId="14CB0608" w14:textId="41771D42" w:rsidR="007507CA" w:rsidRPr="00F1200D" w:rsidRDefault="007507CA" w:rsidP="005E0A3C">
      <w:pPr>
        <w:pStyle w:val="Textonotapie"/>
        <w:rPr>
          <w:lang w:val="fr-FR"/>
        </w:rPr>
      </w:pPr>
      <w:r w:rsidRPr="00DD7203">
        <w:rPr>
          <w:rStyle w:val="Refdenotaalpie"/>
        </w:rPr>
        <w:footnoteRef/>
      </w:r>
      <w:r w:rsidRPr="00F1200D">
        <w:rPr>
          <w:lang w:val="fr-FR"/>
        </w:rPr>
        <w:t xml:space="preserve"> &lt;https://blogs.microsoft.com/on-the-issues/2018/12/06/facial-recognition-its-time-for-action/&gt;</w:t>
      </w:r>
    </w:p>
  </w:footnote>
  <w:footnote w:id="67">
    <w:p w14:paraId="3177D5E3" w14:textId="10C42828" w:rsidR="007507CA" w:rsidRPr="00F1200D" w:rsidRDefault="007507CA" w:rsidP="00DD7203">
      <w:pPr>
        <w:spacing w:before="1"/>
        <w:ind w:left="142"/>
        <w:jc w:val="both"/>
        <w:rPr>
          <w:sz w:val="20"/>
          <w:szCs w:val="20"/>
          <w:lang w:val="fr-FR"/>
        </w:rPr>
      </w:pPr>
      <w:r w:rsidRPr="00DD7203">
        <w:rPr>
          <w:rStyle w:val="Refdenotaalpie"/>
          <w:sz w:val="20"/>
          <w:szCs w:val="20"/>
        </w:rPr>
        <w:footnoteRef/>
      </w:r>
      <w:r w:rsidRPr="00F1200D">
        <w:rPr>
          <w:sz w:val="20"/>
          <w:szCs w:val="20"/>
          <w:lang w:val="fr-FR"/>
        </w:rPr>
        <w:t xml:space="preserve"> &lt;https://www.theregister.com/2020/06/09/ibm_quits_facial_recognition_tech/&gt;</w:t>
      </w:r>
    </w:p>
    <w:p w14:paraId="25D879A5" w14:textId="104C80DB" w:rsidR="007507CA" w:rsidRPr="00DD7203" w:rsidRDefault="007507CA" w:rsidP="009A7B14">
      <w:pPr>
        <w:ind w:left="142" w:right="132"/>
        <w:jc w:val="both"/>
        <w:rPr>
          <w:sz w:val="20"/>
          <w:szCs w:val="20"/>
        </w:rPr>
      </w:pPr>
      <w:r w:rsidRPr="00DD7203">
        <w:rPr>
          <w:sz w:val="20"/>
          <w:szCs w:val="20"/>
        </w:rPr>
        <w:t xml:space="preserve">In a letter (whose text can be read here: </w:t>
      </w:r>
      <w:r>
        <w:rPr>
          <w:sz w:val="20"/>
          <w:szCs w:val="20"/>
        </w:rPr>
        <w:t>&lt;</w:t>
      </w:r>
      <w:r w:rsidRPr="00B41609">
        <w:rPr>
          <w:sz w:val="20"/>
          <w:szCs w:val="20"/>
        </w:rPr>
        <w:t>https://www.ibm.com/blogs/policy/facial-recognition-susset-</w:t>
      </w:r>
      <w:r w:rsidRPr="00DD7203">
        <w:rPr>
          <w:sz w:val="20"/>
          <w:szCs w:val="20"/>
        </w:rPr>
        <w:t xml:space="preserve"> </w:t>
      </w:r>
      <w:r w:rsidRPr="00B41609">
        <w:rPr>
          <w:sz w:val="20"/>
          <w:szCs w:val="20"/>
        </w:rPr>
        <w:t>racial-justice-reforms/</w:t>
      </w:r>
      <w:r>
        <w:rPr>
          <w:sz w:val="20"/>
          <w:szCs w:val="20"/>
        </w:rPr>
        <w:t>&gt;</w:t>
      </w:r>
      <w:r w:rsidRPr="00DD7203">
        <w:rPr>
          <w:sz w:val="20"/>
          <w:szCs w:val="20"/>
        </w:rPr>
        <w:t>) stating the decision, IBM’s CEO also pointed out that ‘IBM firmly opposes and will not condone uses of any technology, including facial recognition technology offered by other vendors, for mass surveillance, racial profiling, violations of basic human rights and freedoms, or any purpose which is not consistent with our values and Principles of Trust and Transparency. We believe now is the time to begin a national dialogue on whether and how facial recognition technology should be employed by domestic law enforcement agencies. Artificial Intelligence is a powerful tool that can help law enforcement keep citizens safe. But vendors and users of Al systems have a shared responsibility to ensure that Al is tested for bias, particularity when used in law enforcement, and that such bias testing is audited and</w:t>
      </w:r>
      <w:r w:rsidRPr="00DD7203">
        <w:rPr>
          <w:spacing w:val="1"/>
          <w:sz w:val="20"/>
          <w:szCs w:val="20"/>
        </w:rPr>
        <w:t xml:space="preserve"> </w:t>
      </w:r>
      <w:r w:rsidRPr="00DD7203">
        <w:rPr>
          <w:sz w:val="20"/>
          <w:szCs w:val="20"/>
        </w:rPr>
        <w:t>reported.’</w:t>
      </w:r>
    </w:p>
  </w:footnote>
  <w:footnote w:id="68">
    <w:p w14:paraId="5942E599" w14:textId="1EAC2E15" w:rsidR="007507CA" w:rsidRPr="00DD7203" w:rsidRDefault="007507CA" w:rsidP="005E0A3C">
      <w:pPr>
        <w:pStyle w:val="Textonotapie"/>
      </w:pPr>
      <w:r w:rsidRPr="00DD7203">
        <w:rPr>
          <w:rStyle w:val="Refdenotaalpie"/>
        </w:rPr>
        <w:footnoteRef/>
      </w:r>
      <w:r w:rsidRPr="00DD7203">
        <w:t xml:space="preserve"> </w:t>
      </w:r>
      <w:r>
        <w:t>&lt;</w:t>
      </w:r>
      <w:r w:rsidRPr="00B41609">
        <w:t>https://www.nytimes.com/2020/06/10/technology/amazon-facial-recognition-backlash.html</w:t>
      </w:r>
      <w:r>
        <w:t>&gt;</w:t>
      </w:r>
    </w:p>
  </w:footnote>
  <w:footnote w:id="69">
    <w:p w14:paraId="766EF845" w14:textId="54256E52" w:rsidR="007507CA" w:rsidRPr="00DD7203" w:rsidRDefault="007507CA" w:rsidP="005E0A3C">
      <w:pPr>
        <w:pStyle w:val="Textonotapie"/>
      </w:pPr>
      <w:r w:rsidRPr="00DD7203">
        <w:rPr>
          <w:rStyle w:val="Refdenotaalpie"/>
        </w:rPr>
        <w:footnoteRef/>
      </w:r>
      <w:r w:rsidRPr="00DD7203">
        <w:t xml:space="preserve"> </w:t>
      </w:r>
      <w:r>
        <w:t>&lt;</w:t>
      </w:r>
      <w:r w:rsidRPr="00B41609">
        <w:t>https://www.washingtonpost.com/technology/2020/06/11/microsoft-facial-recognition/</w:t>
      </w:r>
      <w:r>
        <w:t>&gt;</w:t>
      </w:r>
    </w:p>
  </w:footnote>
  <w:footnote w:id="70">
    <w:p w14:paraId="586481E3" w14:textId="66B85FD4" w:rsidR="007507CA" w:rsidRPr="00DD7203" w:rsidRDefault="007507CA" w:rsidP="005E0A3C">
      <w:pPr>
        <w:pStyle w:val="Textonotapie"/>
      </w:pPr>
      <w:r w:rsidRPr="00DD7203">
        <w:rPr>
          <w:rStyle w:val="Refdenotaalpie"/>
        </w:rPr>
        <w:footnoteRef/>
      </w:r>
      <w:r w:rsidRPr="00DD7203">
        <w:t xml:space="preserve"> For instance, civic behaviour, retail, enterprise, transportation, and education.</w:t>
      </w:r>
    </w:p>
  </w:footnote>
  <w:footnote w:id="71">
    <w:p w14:paraId="22D7D54E" w14:textId="5662C71B" w:rsidR="007507CA" w:rsidRPr="00DD7203" w:rsidRDefault="007507CA" w:rsidP="005E0A3C">
      <w:pPr>
        <w:pStyle w:val="Textonotapie"/>
      </w:pPr>
      <w:r w:rsidRPr="00DD7203">
        <w:rPr>
          <w:rStyle w:val="Refdenotaalpie"/>
        </w:rPr>
        <w:footnoteRef/>
      </w:r>
      <w:r w:rsidRPr="00DD7203">
        <w:t xml:space="preserve"> </w:t>
      </w:r>
      <w:r>
        <w:t>&lt;</w:t>
      </w:r>
      <w:r w:rsidRPr="009A7B14">
        <w:t>https://www.comparitech.com/blog/vpn-privacy/biometric-data-study/</w:t>
      </w:r>
      <w:r>
        <w:t>&gt;</w:t>
      </w:r>
    </w:p>
  </w:footnote>
  <w:footnote w:id="72">
    <w:p w14:paraId="4D1EE422" w14:textId="2ED69E6A" w:rsidR="007507CA" w:rsidRPr="00D17793" w:rsidRDefault="007507CA" w:rsidP="005E0A3C">
      <w:pPr>
        <w:pStyle w:val="Textonotapie"/>
      </w:pPr>
      <w:r w:rsidRPr="00D17793">
        <w:rPr>
          <w:rStyle w:val="Refdenotaalpie"/>
        </w:rPr>
        <w:footnoteRef/>
      </w:r>
      <w:r w:rsidRPr="00D17793">
        <w:t xml:space="preserve"> &lt;https://www.comparitech.com/vpn-privacy/the-worlds-most-surveilled-cities/&gt;</w:t>
      </w:r>
    </w:p>
  </w:footnote>
  <w:footnote w:id="73">
    <w:p w14:paraId="3522BB2D" w14:textId="77777777" w:rsidR="007507CA" w:rsidRPr="00D17793" w:rsidRDefault="007507CA" w:rsidP="005E0A3C">
      <w:pPr>
        <w:pStyle w:val="Textonotapie"/>
        <w:rPr>
          <w:lang w:val="es-ES"/>
        </w:rPr>
      </w:pPr>
      <w:r w:rsidRPr="00D17793">
        <w:rPr>
          <w:rStyle w:val="Refdenotaalpie"/>
        </w:rPr>
        <w:footnoteRef/>
      </w:r>
      <w:r w:rsidRPr="00D17793">
        <w:rPr>
          <w:lang w:val="es-ES"/>
        </w:rPr>
        <w:t xml:space="preserve"> </w:t>
      </w:r>
      <w:r w:rsidRPr="00E72FC1">
        <w:rPr>
          <w:lang w:val="es-ES"/>
        </w:rPr>
        <w:t>Ibid.</w:t>
      </w:r>
    </w:p>
  </w:footnote>
  <w:footnote w:id="74">
    <w:p w14:paraId="10738A7D" w14:textId="45490A60" w:rsidR="007507CA" w:rsidRPr="00D17793" w:rsidRDefault="007507CA" w:rsidP="005E0A3C">
      <w:pPr>
        <w:pStyle w:val="Textonotapie"/>
        <w:rPr>
          <w:lang w:val="es-ES"/>
        </w:rPr>
      </w:pPr>
      <w:r w:rsidRPr="00D17793">
        <w:rPr>
          <w:rStyle w:val="Refdenotaalpie"/>
        </w:rPr>
        <w:footnoteRef/>
      </w:r>
      <w:r>
        <w:rPr>
          <w:lang w:val="es-ES"/>
        </w:rPr>
        <w:t xml:space="preserve"> </w:t>
      </w:r>
      <w:r w:rsidRPr="00D17793">
        <w:rPr>
          <w:lang w:val="es-ES"/>
        </w:rPr>
        <w:t>&lt;https://www.nytimes.com/2019/04/14/technology/china-surveillance-artificial-intelligence-racial-profiling.html&gt;</w:t>
      </w:r>
    </w:p>
  </w:footnote>
  <w:footnote w:id="75">
    <w:p w14:paraId="3B94886B" w14:textId="22E21F6D" w:rsidR="007507CA" w:rsidRPr="00D17793" w:rsidRDefault="007507CA" w:rsidP="005E0A3C">
      <w:pPr>
        <w:pStyle w:val="Textonotapie"/>
        <w:rPr>
          <w:lang w:val="es-ES"/>
        </w:rPr>
      </w:pPr>
      <w:r w:rsidRPr="00D17793">
        <w:rPr>
          <w:rStyle w:val="Refdenotaalpie"/>
        </w:rPr>
        <w:footnoteRef/>
      </w:r>
      <w:r w:rsidRPr="00D17793">
        <w:rPr>
          <w:lang w:val="es-ES"/>
        </w:rPr>
        <w:t xml:space="preserve"> &lt;https://www.nature.com/articles/d41586-019-02360-7&gt;</w:t>
      </w:r>
    </w:p>
  </w:footnote>
  <w:footnote w:id="76">
    <w:p w14:paraId="4C4254C0" w14:textId="3DFF914B" w:rsidR="007507CA" w:rsidRPr="00D17793" w:rsidRDefault="007507CA" w:rsidP="005E0A3C">
      <w:pPr>
        <w:pStyle w:val="Textonotapie"/>
        <w:rPr>
          <w:rStyle w:val="Hipervnculo"/>
          <w:lang w:val="es-ES"/>
        </w:rPr>
      </w:pPr>
      <w:r w:rsidRPr="00D17793">
        <w:rPr>
          <w:rStyle w:val="Refdenotaalpie"/>
        </w:rPr>
        <w:footnoteRef/>
      </w:r>
      <w:r w:rsidRPr="00D17793">
        <w:rPr>
          <w:lang w:val="es-ES"/>
        </w:rPr>
        <w:t xml:space="preserve"> &lt;https://www.theguardian.com/technology/2020/jan/17/eu-eyes-temporary-ban-on-facial-recognition-in-public-places&gt;</w:t>
      </w:r>
    </w:p>
    <w:p w14:paraId="27BA2876" w14:textId="065CDC1A" w:rsidR="007507CA" w:rsidRPr="00D17793" w:rsidRDefault="007507CA" w:rsidP="005E0A3C">
      <w:pPr>
        <w:pStyle w:val="Textonotapie"/>
      </w:pPr>
      <w:r w:rsidRPr="00D17793">
        <w:rPr>
          <w:rStyle w:val="Hipervnculo"/>
          <w:color w:val="auto"/>
          <w:u w:val="none"/>
        </w:rPr>
        <w:t>This provision was specifically contemplated in a leaked draft of the White Paper on AI by the European Commission. However, the final version of the White Paper does not include this option.</w:t>
      </w:r>
    </w:p>
  </w:footnote>
  <w:footnote w:id="77">
    <w:p w14:paraId="2BAF011F" w14:textId="185B6090" w:rsidR="007507CA" w:rsidRPr="00D17793" w:rsidRDefault="007507CA" w:rsidP="005E0A3C">
      <w:pPr>
        <w:pStyle w:val="Textonotapie"/>
      </w:pPr>
      <w:r w:rsidRPr="00D17793">
        <w:rPr>
          <w:rStyle w:val="Refdenotaalpie"/>
        </w:rPr>
        <w:footnoteRef/>
      </w:r>
      <w:r w:rsidRPr="00D17793">
        <w:t xml:space="preserve"> &lt;https://www.nytimes.com/2019/05/14/us/facial-recognition-ban-san-francisco.html&gt;</w:t>
      </w:r>
    </w:p>
  </w:footnote>
  <w:footnote w:id="78">
    <w:p w14:paraId="73CADC53" w14:textId="465F18AC" w:rsidR="007507CA" w:rsidRPr="00D17793" w:rsidRDefault="007507CA" w:rsidP="005E0A3C">
      <w:pPr>
        <w:pStyle w:val="Textonotapie"/>
      </w:pPr>
      <w:r w:rsidRPr="00D17793">
        <w:rPr>
          <w:rStyle w:val="Refdenotaalpie"/>
        </w:rPr>
        <w:footnoteRef/>
      </w:r>
      <w:r w:rsidRPr="00D17793">
        <w:t xml:space="preserve"> &lt;https://www.vice.com/en_us/article/zmpaex/oakland-becomes-third-us-city-to-ban-facial-recognition-xz&gt;</w:t>
      </w:r>
    </w:p>
  </w:footnote>
  <w:footnote w:id="79">
    <w:p w14:paraId="487342BB" w14:textId="654B9CA7" w:rsidR="007507CA" w:rsidRPr="00DD7203" w:rsidRDefault="007507CA" w:rsidP="005E0A3C">
      <w:pPr>
        <w:pStyle w:val="Textonotapie"/>
        <w:rPr>
          <w:rStyle w:val="Hipervnculo"/>
        </w:rPr>
      </w:pPr>
      <w:r w:rsidRPr="00D17793">
        <w:rPr>
          <w:rStyle w:val="Refdenotaalpie"/>
        </w:rPr>
        <w:footnoteRef/>
      </w:r>
      <w:r w:rsidRPr="00D17793">
        <w:t xml:space="preserve"> State of California Assembly Bill No. 1215 (An act to add and repeal Section 832.19 of the Penal Code, relating to law </w:t>
      </w:r>
      <w:r w:rsidRPr="00D17793">
        <w:rPr>
          <w:color w:val="auto"/>
        </w:rPr>
        <w:t>enf</w:t>
      </w:r>
      <w:r w:rsidRPr="00D17793">
        <w:rPr>
          <w:rStyle w:val="Hipervnculo"/>
          <w:color w:val="auto"/>
          <w:u w:val="none"/>
        </w:rPr>
        <w:t xml:space="preserve">orcement.) See in this paper </w:t>
      </w:r>
      <w:r w:rsidRPr="00D17793">
        <w:rPr>
          <w:color w:val="auto"/>
          <w:shd w:val="clear" w:color="auto" w:fill="FFFFFF"/>
        </w:rPr>
        <w:t xml:space="preserve">Legal </w:t>
      </w:r>
      <w:r w:rsidRPr="00D17793">
        <w:rPr>
          <w:shd w:val="clear" w:color="auto" w:fill="FFFFFF"/>
        </w:rPr>
        <w:t>definitions.</w:t>
      </w:r>
    </w:p>
  </w:footnote>
  <w:footnote w:id="80">
    <w:p w14:paraId="08D3CD0A" w14:textId="6A0F443D" w:rsidR="007507CA" w:rsidRPr="00DD7203" w:rsidRDefault="007507CA" w:rsidP="005E0A3C">
      <w:pPr>
        <w:pStyle w:val="Textonotapie"/>
      </w:pPr>
      <w:r w:rsidRPr="00DD7203">
        <w:rPr>
          <w:rStyle w:val="Refdenotaalpie"/>
        </w:rPr>
        <w:footnoteRef/>
      </w:r>
      <w:r w:rsidRPr="00DD7203">
        <w:t xml:space="preserve"> </w:t>
      </w:r>
      <w:r>
        <w:t>&lt;</w:t>
      </w:r>
      <w:r w:rsidRPr="009A7B14">
        <w:t>https://nicic.gov/era-automatic-facial-recognition-and-surveillance-here-2015</w:t>
      </w:r>
      <w:r>
        <w:t>&gt;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422AF"/>
    <w:multiLevelType w:val="hybridMultilevel"/>
    <w:tmpl w:val="B8ECB880"/>
    <w:lvl w:ilvl="0" w:tplc="ACD848E2">
      <w:start w:val="1"/>
      <w:numFmt w:val="bullet"/>
      <w:lvlText w:val=""/>
      <w:lvlJc w:val="left"/>
      <w:pPr>
        <w:ind w:left="36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44C7E82"/>
    <w:multiLevelType w:val="hybridMultilevel"/>
    <w:tmpl w:val="1BC0E5A4"/>
    <w:lvl w:ilvl="0" w:tplc="788046FA">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B4B782F"/>
    <w:multiLevelType w:val="hybridMultilevel"/>
    <w:tmpl w:val="2D7EC70E"/>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7694E38"/>
    <w:multiLevelType w:val="hybridMultilevel"/>
    <w:tmpl w:val="04660BC4"/>
    <w:lvl w:ilvl="0" w:tplc="0C0A0001">
      <w:start w:val="1"/>
      <w:numFmt w:val="bullet"/>
      <w:lvlText w:val=""/>
      <w:lvlJc w:val="left"/>
      <w:pPr>
        <w:ind w:left="720" w:hanging="360"/>
      </w:pPr>
      <w:rPr>
        <w:rFonts w:ascii="Symbol" w:hAnsi="Symbol" w:hint="default"/>
        <w:color w:val="auto"/>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4" w15:restartNumberingAfterBreak="0">
    <w:nsid w:val="181D4A9A"/>
    <w:multiLevelType w:val="hybridMultilevel"/>
    <w:tmpl w:val="097E65B4"/>
    <w:lvl w:ilvl="0" w:tplc="EF6C92FE">
      <w:start w:val="1"/>
      <w:numFmt w:val="decimal"/>
      <w:lvlText w:val="%1."/>
      <w:lvlJc w:val="left"/>
      <w:pPr>
        <w:ind w:left="360" w:hanging="360"/>
      </w:pPr>
      <w:rPr>
        <w:i w:val="0"/>
        <w:iCs/>
        <w:color w:val="auto"/>
        <w:lang w:val="es-ES"/>
      </w:r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start w:val="1"/>
      <w:numFmt w:val="lowerLetter"/>
      <w:lvlText w:val="%5."/>
      <w:lvlJc w:val="left"/>
      <w:pPr>
        <w:ind w:left="3240" w:hanging="360"/>
      </w:pPr>
    </w:lvl>
    <w:lvl w:ilvl="5" w:tplc="0C0A001B">
      <w:start w:val="1"/>
      <w:numFmt w:val="lowerRoman"/>
      <w:lvlText w:val="%6."/>
      <w:lvlJc w:val="right"/>
      <w:pPr>
        <w:ind w:left="3960" w:hanging="180"/>
      </w:pPr>
    </w:lvl>
    <w:lvl w:ilvl="6" w:tplc="0C0A000F">
      <w:start w:val="1"/>
      <w:numFmt w:val="decimal"/>
      <w:lvlText w:val="%7."/>
      <w:lvlJc w:val="left"/>
      <w:pPr>
        <w:ind w:left="4680" w:hanging="360"/>
      </w:pPr>
    </w:lvl>
    <w:lvl w:ilvl="7" w:tplc="0C0A0019">
      <w:start w:val="1"/>
      <w:numFmt w:val="lowerLetter"/>
      <w:lvlText w:val="%8."/>
      <w:lvlJc w:val="left"/>
      <w:pPr>
        <w:ind w:left="5400" w:hanging="360"/>
      </w:pPr>
    </w:lvl>
    <w:lvl w:ilvl="8" w:tplc="0C0A001B">
      <w:start w:val="1"/>
      <w:numFmt w:val="lowerRoman"/>
      <w:lvlText w:val="%9."/>
      <w:lvlJc w:val="right"/>
      <w:pPr>
        <w:ind w:left="6120" w:hanging="180"/>
      </w:pPr>
    </w:lvl>
  </w:abstractNum>
  <w:abstractNum w:abstractNumId="5" w15:restartNumberingAfterBreak="0">
    <w:nsid w:val="184669BB"/>
    <w:multiLevelType w:val="hybridMultilevel"/>
    <w:tmpl w:val="2208F1B4"/>
    <w:lvl w:ilvl="0" w:tplc="ACD848E2">
      <w:start w:val="1"/>
      <w:numFmt w:val="bullet"/>
      <w:lvlText w:val=""/>
      <w:lvlJc w:val="left"/>
      <w:pPr>
        <w:ind w:left="360" w:hanging="360"/>
      </w:pPr>
      <w:rPr>
        <w:rFonts w:ascii="Symbol" w:hAnsi="Symbol" w:hint="default"/>
        <w:color w:val="auto"/>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 w15:restartNumberingAfterBreak="0">
    <w:nsid w:val="2AC928BF"/>
    <w:multiLevelType w:val="hybridMultilevel"/>
    <w:tmpl w:val="0F88182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15C5898"/>
    <w:multiLevelType w:val="hybridMultilevel"/>
    <w:tmpl w:val="F6EC74C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5F80389"/>
    <w:multiLevelType w:val="hybridMultilevel"/>
    <w:tmpl w:val="39BC597C"/>
    <w:lvl w:ilvl="0" w:tplc="ACD848E2">
      <w:start w:val="1"/>
      <w:numFmt w:val="bullet"/>
      <w:lvlText w:val=""/>
      <w:lvlJc w:val="left"/>
      <w:pPr>
        <w:ind w:left="360" w:hanging="360"/>
      </w:pPr>
      <w:rPr>
        <w:rFonts w:ascii="Symbol" w:hAnsi="Symbol" w:hint="default"/>
        <w:b w:val="0"/>
        <w:bCs w:val="0"/>
        <w:color w:val="auto"/>
      </w:r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start w:val="1"/>
      <w:numFmt w:val="lowerLetter"/>
      <w:lvlText w:val="%5."/>
      <w:lvlJc w:val="left"/>
      <w:pPr>
        <w:ind w:left="3240" w:hanging="360"/>
      </w:pPr>
    </w:lvl>
    <w:lvl w:ilvl="5" w:tplc="0C0A001B">
      <w:start w:val="1"/>
      <w:numFmt w:val="lowerRoman"/>
      <w:lvlText w:val="%6."/>
      <w:lvlJc w:val="right"/>
      <w:pPr>
        <w:ind w:left="3960" w:hanging="180"/>
      </w:pPr>
    </w:lvl>
    <w:lvl w:ilvl="6" w:tplc="0C0A000F">
      <w:start w:val="1"/>
      <w:numFmt w:val="decimal"/>
      <w:lvlText w:val="%7."/>
      <w:lvlJc w:val="left"/>
      <w:pPr>
        <w:ind w:left="4680" w:hanging="360"/>
      </w:pPr>
    </w:lvl>
    <w:lvl w:ilvl="7" w:tplc="0C0A0019">
      <w:start w:val="1"/>
      <w:numFmt w:val="lowerLetter"/>
      <w:lvlText w:val="%8."/>
      <w:lvlJc w:val="left"/>
      <w:pPr>
        <w:ind w:left="5400" w:hanging="360"/>
      </w:pPr>
    </w:lvl>
    <w:lvl w:ilvl="8" w:tplc="0C0A001B">
      <w:start w:val="1"/>
      <w:numFmt w:val="lowerRoman"/>
      <w:lvlText w:val="%9."/>
      <w:lvlJc w:val="right"/>
      <w:pPr>
        <w:ind w:left="6120" w:hanging="180"/>
      </w:pPr>
    </w:lvl>
  </w:abstractNum>
  <w:abstractNum w:abstractNumId="9" w15:restartNumberingAfterBreak="0">
    <w:nsid w:val="51A61AC2"/>
    <w:multiLevelType w:val="multilevel"/>
    <w:tmpl w:val="9B0476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5245221"/>
    <w:multiLevelType w:val="hybridMultilevel"/>
    <w:tmpl w:val="7F5EA738"/>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start w:val="1"/>
      <w:numFmt w:val="lowerLetter"/>
      <w:lvlText w:val="%5."/>
      <w:lvlJc w:val="left"/>
      <w:pPr>
        <w:ind w:left="3240" w:hanging="360"/>
      </w:pPr>
    </w:lvl>
    <w:lvl w:ilvl="5" w:tplc="0C0A001B">
      <w:start w:val="1"/>
      <w:numFmt w:val="lowerRoman"/>
      <w:lvlText w:val="%6."/>
      <w:lvlJc w:val="right"/>
      <w:pPr>
        <w:ind w:left="3960" w:hanging="180"/>
      </w:pPr>
    </w:lvl>
    <w:lvl w:ilvl="6" w:tplc="0C0A000F">
      <w:start w:val="1"/>
      <w:numFmt w:val="decimal"/>
      <w:lvlText w:val="%7."/>
      <w:lvlJc w:val="left"/>
      <w:pPr>
        <w:ind w:left="4680" w:hanging="360"/>
      </w:pPr>
    </w:lvl>
    <w:lvl w:ilvl="7" w:tplc="0C0A0019">
      <w:start w:val="1"/>
      <w:numFmt w:val="lowerLetter"/>
      <w:lvlText w:val="%8."/>
      <w:lvlJc w:val="left"/>
      <w:pPr>
        <w:ind w:left="5400" w:hanging="360"/>
      </w:pPr>
    </w:lvl>
    <w:lvl w:ilvl="8" w:tplc="0C0A001B">
      <w:start w:val="1"/>
      <w:numFmt w:val="lowerRoman"/>
      <w:lvlText w:val="%9."/>
      <w:lvlJc w:val="right"/>
      <w:pPr>
        <w:ind w:left="6120" w:hanging="180"/>
      </w:pPr>
    </w:lvl>
  </w:abstractNum>
  <w:num w:numId="1" w16cid:durableId="1152209351">
    <w:abstractNumId w:val="2"/>
  </w:num>
  <w:num w:numId="2" w16cid:durableId="4770000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851262597">
    <w:abstractNumId w:val="6"/>
  </w:num>
  <w:num w:numId="4" w16cid:durableId="176971752">
    <w:abstractNumId w:val="3"/>
  </w:num>
  <w:num w:numId="5" w16cid:durableId="1233737084">
    <w:abstractNumId w:val="8"/>
  </w:num>
  <w:num w:numId="6" w16cid:durableId="1962572386">
    <w:abstractNumId w:val="1"/>
  </w:num>
  <w:num w:numId="7" w16cid:durableId="817768276">
    <w:abstractNumId w:val="3"/>
  </w:num>
  <w:num w:numId="8" w16cid:durableId="189531100">
    <w:abstractNumId w:val="5"/>
  </w:num>
  <w:num w:numId="9" w16cid:durableId="1599295139">
    <w:abstractNumId w:val="8"/>
  </w:num>
  <w:num w:numId="10" w16cid:durableId="179086014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26205856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66191883">
    <w:abstractNumId w:val="4"/>
  </w:num>
  <w:num w:numId="13" w16cid:durableId="1679961692">
    <w:abstractNumId w:val="0"/>
  </w:num>
  <w:num w:numId="14" w16cid:durableId="650526474">
    <w:abstractNumId w:val="9"/>
  </w:num>
  <w:num w:numId="15" w16cid:durableId="164222979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TYzNja2NLE0NjWxMDBX0lEKTi0uzszPAykwqwUAV0JujywAAAA="/>
  </w:docVars>
  <w:rsids>
    <w:rsidRoot w:val="0056181D"/>
    <w:rsid w:val="00061530"/>
    <w:rsid w:val="00076135"/>
    <w:rsid w:val="0009212B"/>
    <w:rsid w:val="000D011F"/>
    <w:rsid w:val="001430C1"/>
    <w:rsid w:val="00174A7C"/>
    <w:rsid w:val="001C5D58"/>
    <w:rsid w:val="001E6CF6"/>
    <w:rsid w:val="002116C0"/>
    <w:rsid w:val="00215D10"/>
    <w:rsid w:val="0023228A"/>
    <w:rsid w:val="00270BBF"/>
    <w:rsid w:val="0028203E"/>
    <w:rsid w:val="002943D4"/>
    <w:rsid w:val="002C1F25"/>
    <w:rsid w:val="002D4EA0"/>
    <w:rsid w:val="002F6464"/>
    <w:rsid w:val="003004F9"/>
    <w:rsid w:val="00322F3D"/>
    <w:rsid w:val="00345FB1"/>
    <w:rsid w:val="00354878"/>
    <w:rsid w:val="0037383B"/>
    <w:rsid w:val="00397C85"/>
    <w:rsid w:val="003A69B7"/>
    <w:rsid w:val="003B6362"/>
    <w:rsid w:val="003D556C"/>
    <w:rsid w:val="003D6D13"/>
    <w:rsid w:val="003E3269"/>
    <w:rsid w:val="003E639E"/>
    <w:rsid w:val="003F2E8B"/>
    <w:rsid w:val="00412BA6"/>
    <w:rsid w:val="00416F31"/>
    <w:rsid w:val="00421B3B"/>
    <w:rsid w:val="00465C2F"/>
    <w:rsid w:val="004C52C1"/>
    <w:rsid w:val="00516710"/>
    <w:rsid w:val="005403E9"/>
    <w:rsid w:val="00560152"/>
    <w:rsid w:val="0056181D"/>
    <w:rsid w:val="0056718E"/>
    <w:rsid w:val="00583D4A"/>
    <w:rsid w:val="0059050B"/>
    <w:rsid w:val="005B11A9"/>
    <w:rsid w:val="005B7150"/>
    <w:rsid w:val="005E0A3C"/>
    <w:rsid w:val="005F3512"/>
    <w:rsid w:val="00601C6C"/>
    <w:rsid w:val="00632155"/>
    <w:rsid w:val="00663EA9"/>
    <w:rsid w:val="00667FA9"/>
    <w:rsid w:val="006F1AE6"/>
    <w:rsid w:val="0072782D"/>
    <w:rsid w:val="007507CA"/>
    <w:rsid w:val="00750C68"/>
    <w:rsid w:val="007B7AE2"/>
    <w:rsid w:val="007E28FA"/>
    <w:rsid w:val="007E2B7F"/>
    <w:rsid w:val="007E6503"/>
    <w:rsid w:val="007F022D"/>
    <w:rsid w:val="00816C1C"/>
    <w:rsid w:val="00831D8E"/>
    <w:rsid w:val="0086206C"/>
    <w:rsid w:val="00966180"/>
    <w:rsid w:val="009A7B14"/>
    <w:rsid w:val="009D6851"/>
    <w:rsid w:val="00A13D1E"/>
    <w:rsid w:val="00AD6409"/>
    <w:rsid w:val="00AF324A"/>
    <w:rsid w:val="00B00FF4"/>
    <w:rsid w:val="00B024C1"/>
    <w:rsid w:val="00B35E6D"/>
    <w:rsid w:val="00B41609"/>
    <w:rsid w:val="00B4268A"/>
    <w:rsid w:val="00B46524"/>
    <w:rsid w:val="00B56F82"/>
    <w:rsid w:val="00B731C1"/>
    <w:rsid w:val="00B732E2"/>
    <w:rsid w:val="00B9618E"/>
    <w:rsid w:val="00BB2CB1"/>
    <w:rsid w:val="00BB6476"/>
    <w:rsid w:val="00BC0EB6"/>
    <w:rsid w:val="00C2240F"/>
    <w:rsid w:val="00C307CA"/>
    <w:rsid w:val="00C44B1F"/>
    <w:rsid w:val="00C76C7E"/>
    <w:rsid w:val="00CA33F7"/>
    <w:rsid w:val="00CB7772"/>
    <w:rsid w:val="00CF61A5"/>
    <w:rsid w:val="00D10A06"/>
    <w:rsid w:val="00D125AF"/>
    <w:rsid w:val="00D17793"/>
    <w:rsid w:val="00D37C6F"/>
    <w:rsid w:val="00D82B5A"/>
    <w:rsid w:val="00DB246F"/>
    <w:rsid w:val="00DC02AA"/>
    <w:rsid w:val="00DD132A"/>
    <w:rsid w:val="00DD2965"/>
    <w:rsid w:val="00DD7203"/>
    <w:rsid w:val="00E026E2"/>
    <w:rsid w:val="00E15614"/>
    <w:rsid w:val="00E225D8"/>
    <w:rsid w:val="00E44C45"/>
    <w:rsid w:val="00E451A0"/>
    <w:rsid w:val="00E51E2E"/>
    <w:rsid w:val="00E53182"/>
    <w:rsid w:val="00E53429"/>
    <w:rsid w:val="00E72FC1"/>
    <w:rsid w:val="00E81F21"/>
    <w:rsid w:val="00E84555"/>
    <w:rsid w:val="00EB000D"/>
    <w:rsid w:val="00ED3087"/>
    <w:rsid w:val="00EF666B"/>
    <w:rsid w:val="00F10E4C"/>
    <w:rsid w:val="00F1200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5B668D"/>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181D"/>
    <w:pPr>
      <w:spacing w:after="0" w:line="480" w:lineRule="auto"/>
    </w:pPr>
    <w:rPr>
      <w:rFonts w:ascii="Times New Roman" w:eastAsia="Times New Roman" w:hAnsi="Times New Roman" w:cs="Times New Roman"/>
      <w:sz w:val="24"/>
      <w:szCs w:val="24"/>
      <w:lang w:val="en-GB" w:eastAsia="en-GB"/>
    </w:rPr>
  </w:style>
  <w:style w:type="paragraph" w:styleId="Ttulo1">
    <w:name w:val="heading 1"/>
    <w:basedOn w:val="Normal"/>
    <w:next w:val="Normal"/>
    <w:link w:val="Ttulo1Car"/>
    <w:qFormat/>
    <w:rsid w:val="0056181D"/>
    <w:pPr>
      <w:keepNext/>
      <w:spacing w:before="360" w:after="60" w:line="360" w:lineRule="auto"/>
      <w:ind w:right="567"/>
      <w:contextualSpacing/>
      <w:outlineLvl w:val="0"/>
    </w:pPr>
    <w:rPr>
      <w:rFonts w:cs="Arial"/>
      <w:b/>
      <w:bCs/>
      <w:kern w:val="32"/>
      <w:szCs w:val="32"/>
    </w:rPr>
  </w:style>
  <w:style w:type="paragraph" w:styleId="Ttulo2">
    <w:name w:val="heading 2"/>
    <w:basedOn w:val="Normal"/>
    <w:next w:val="Normal"/>
    <w:link w:val="Ttulo2Car"/>
    <w:qFormat/>
    <w:rsid w:val="0056181D"/>
    <w:pPr>
      <w:keepNext/>
      <w:spacing w:before="360" w:after="60" w:line="360" w:lineRule="auto"/>
      <w:ind w:right="567"/>
      <w:contextualSpacing/>
      <w:outlineLvl w:val="1"/>
    </w:pPr>
    <w:rPr>
      <w:rFonts w:cs="Arial"/>
      <w:b/>
      <w:bCs/>
      <w:i/>
      <w:iCs/>
      <w:szCs w:val="28"/>
    </w:rPr>
  </w:style>
  <w:style w:type="paragraph" w:styleId="Ttulo3">
    <w:name w:val="heading 3"/>
    <w:basedOn w:val="Normal"/>
    <w:next w:val="Normal"/>
    <w:link w:val="Ttulo3Car"/>
    <w:qFormat/>
    <w:rsid w:val="005B7150"/>
    <w:pPr>
      <w:keepNext/>
      <w:spacing w:before="360" w:after="60" w:line="360" w:lineRule="auto"/>
      <w:ind w:right="567"/>
      <w:contextualSpacing/>
      <w:outlineLvl w:val="2"/>
    </w:pPr>
    <w:rPr>
      <w:rFonts w:cs="Arial"/>
      <w:bCs/>
      <w:i/>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56181D"/>
    <w:rPr>
      <w:color w:val="0563C1" w:themeColor="hyperlink"/>
      <w:u w:val="single"/>
    </w:rPr>
  </w:style>
  <w:style w:type="paragraph" w:styleId="Textonotapie">
    <w:name w:val="footnote text"/>
    <w:basedOn w:val="Normal"/>
    <w:link w:val="TextonotapieCar"/>
    <w:autoRedefine/>
    <w:uiPriority w:val="99"/>
    <w:unhideWhenUsed/>
    <w:rsid w:val="005E0A3C"/>
    <w:pPr>
      <w:spacing w:line="360" w:lineRule="auto"/>
      <w:ind w:left="284" w:hanging="284"/>
      <w:jc w:val="both"/>
    </w:pPr>
    <w:rPr>
      <w:color w:val="212121"/>
      <w:sz w:val="20"/>
      <w:szCs w:val="20"/>
    </w:rPr>
  </w:style>
  <w:style w:type="character" w:customStyle="1" w:styleId="TextonotapieCar">
    <w:name w:val="Texto nota pie Car"/>
    <w:basedOn w:val="Fuentedeprrafopredeter"/>
    <w:link w:val="Textonotapie"/>
    <w:uiPriority w:val="99"/>
    <w:rsid w:val="005E0A3C"/>
    <w:rPr>
      <w:rFonts w:ascii="Times New Roman" w:eastAsia="Times New Roman" w:hAnsi="Times New Roman" w:cs="Times New Roman"/>
      <w:color w:val="212121"/>
      <w:sz w:val="20"/>
      <w:szCs w:val="20"/>
      <w:lang w:val="en-GB" w:eastAsia="en-GB"/>
    </w:rPr>
  </w:style>
  <w:style w:type="paragraph" w:styleId="Textocomentario">
    <w:name w:val="annotation text"/>
    <w:basedOn w:val="Normal"/>
    <w:link w:val="TextocomentarioCar"/>
    <w:semiHidden/>
    <w:unhideWhenUsed/>
    <w:rsid w:val="0056181D"/>
    <w:pPr>
      <w:spacing w:line="240" w:lineRule="auto"/>
    </w:pPr>
    <w:rPr>
      <w:sz w:val="20"/>
      <w:szCs w:val="20"/>
    </w:rPr>
  </w:style>
  <w:style w:type="character" w:customStyle="1" w:styleId="TextocomentarioCar">
    <w:name w:val="Texto comentario Car"/>
    <w:basedOn w:val="Fuentedeprrafopredeter"/>
    <w:link w:val="Textocomentario"/>
    <w:semiHidden/>
    <w:rsid w:val="0056181D"/>
    <w:rPr>
      <w:rFonts w:ascii="Times New Roman" w:eastAsia="Times New Roman" w:hAnsi="Times New Roman" w:cs="Times New Roman"/>
      <w:sz w:val="20"/>
      <w:szCs w:val="20"/>
      <w:lang w:val="en-GB" w:eastAsia="en-GB"/>
    </w:rPr>
  </w:style>
  <w:style w:type="paragraph" w:customStyle="1" w:styleId="Articletitle">
    <w:name w:val="Article title"/>
    <w:basedOn w:val="Normal"/>
    <w:next w:val="Normal"/>
    <w:qFormat/>
    <w:rsid w:val="0056181D"/>
    <w:pPr>
      <w:spacing w:after="120" w:line="360" w:lineRule="auto"/>
    </w:pPr>
    <w:rPr>
      <w:b/>
      <w:sz w:val="28"/>
    </w:rPr>
  </w:style>
  <w:style w:type="paragraph" w:customStyle="1" w:styleId="Keywords">
    <w:name w:val="Keywords"/>
    <w:basedOn w:val="Normal"/>
    <w:next w:val="Normal"/>
    <w:qFormat/>
    <w:rsid w:val="0056181D"/>
    <w:pPr>
      <w:spacing w:before="240" w:after="240" w:line="360" w:lineRule="auto"/>
      <w:ind w:left="720" w:right="567"/>
    </w:pPr>
    <w:rPr>
      <w:sz w:val="22"/>
    </w:rPr>
  </w:style>
  <w:style w:type="paragraph" w:customStyle="1" w:styleId="Abstract">
    <w:name w:val="Abstract"/>
    <w:basedOn w:val="Normal"/>
    <w:next w:val="Keywords"/>
    <w:qFormat/>
    <w:rsid w:val="0056181D"/>
    <w:pPr>
      <w:spacing w:before="360" w:after="300" w:line="360" w:lineRule="auto"/>
      <w:ind w:left="720" w:right="567"/>
    </w:pPr>
    <w:rPr>
      <w:sz w:val="22"/>
    </w:rPr>
  </w:style>
  <w:style w:type="paragraph" w:customStyle="1" w:styleId="Default">
    <w:name w:val="Default"/>
    <w:rsid w:val="0056181D"/>
    <w:pPr>
      <w:autoSpaceDE w:val="0"/>
      <w:autoSpaceDN w:val="0"/>
      <w:adjustRightInd w:val="0"/>
      <w:spacing w:after="0" w:line="240" w:lineRule="auto"/>
    </w:pPr>
    <w:rPr>
      <w:rFonts w:ascii="Myriad Pro" w:hAnsi="Myriad Pro" w:cs="Myriad Pro"/>
      <w:color w:val="000000"/>
      <w:sz w:val="24"/>
      <w:szCs w:val="24"/>
    </w:rPr>
  </w:style>
  <w:style w:type="character" w:styleId="Refdenotaalpie">
    <w:name w:val="footnote reference"/>
    <w:basedOn w:val="Fuentedeprrafopredeter"/>
    <w:uiPriority w:val="99"/>
    <w:semiHidden/>
    <w:unhideWhenUsed/>
    <w:rsid w:val="0056181D"/>
    <w:rPr>
      <w:vertAlign w:val="superscript"/>
    </w:rPr>
  </w:style>
  <w:style w:type="character" w:styleId="Refdecomentario">
    <w:name w:val="annotation reference"/>
    <w:basedOn w:val="Fuentedeprrafopredeter"/>
    <w:semiHidden/>
    <w:unhideWhenUsed/>
    <w:rsid w:val="0056181D"/>
    <w:rPr>
      <w:sz w:val="16"/>
      <w:szCs w:val="16"/>
    </w:rPr>
  </w:style>
  <w:style w:type="paragraph" w:styleId="Textodeglobo">
    <w:name w:val="Balloon Text"/>
    <w:basedOn w:val="Normal"/>
    <w:link w:val="TextodegloboCar"/>
    <w:uiPriority w:val="99"/>
    <w:semiHidden/>
    <w:unhideWhenUsed/>
    <w:rsid w:val="0056181D"/>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6181D"/>
    <w:rPr>
      <w:rFonts w:ascii="Segoe UI" w:eastAsia="Times New Roman" w:hAnsi="Segoe UI" w:cs="Segoe UI"/>
      <w:sz w:val="18"/>
      <w:szCs w:val="18"/>
      <w:lang w:val="en-GB" w:eastAsia="en-GB"/>
    </w:rPr>
  </w:style>
  <w:style w:type="paragraph" w:styleId="Prrafodelista">
    <w:name w:val="List Paragraph"/>
    <w:basedOn w:val="Normal"/>
    <w:uiPriority w:val="34"/>
    <w:qFormat/>
    <w:rsid w:val="0056181D"/>
    <w:pPr>
      <w:ind w:left="720"/>
      <w:contextualSpacing/>
    </w:pPr>
  </w:style>
  <w:style w:type="character" w:customStyle="1" w:styleId="Ttulo1Car">
    <w:name w:val="Título 1 Car"/>
    <w:basedOn w:val="Fuentedeprrafopredeter"/>
    <w:link w:val="Ttulo1"/>
    <w:rsid w:val="0056181D"/>
    <w:rPr>
      <w:rFonts w:ascii="Times New Roman" w:eastAsia="Times New Roman" w:hAnsi="Times New Roman" w:cs="Arial"/>
      <w:b/>
      <w:bCs/>
      <w:kern w:val="32"/>
      <w:sz w:val="24"/>
      <w:szCs w:val="32"/>
      <w:lang w:val="en-GB" w:eastAsia="en-GB"/>
    </w:rPr>
  </w:style>
  <w:style w:type="character" w:customStyle="1" w:styleId="Ttulo2Car">
    <w:name w:val="Título 2 Car"/>
    <w:basedOn w:val="Fuentedeprrafopredeter"/>
    <w:link w:val="Ttulo2"/>
    <w:rsid w:val="0056181D"/>
    <w:rPr>
      <w:rFonts w:ascii="Times New Roman" w:eastAsia="Times New Roman" w:hAnsi="Times New Roman" w:cs="Arial"/>
      <w:b/>
      <w:bCs/>
      <w:i/>
      <w:iCs/>
      <w:sz w:val="24"/>
      <w:szCs w:val="28"/>
      <w:lang w:val="en-GB" w:eastAsia="en-GB"/>
    </w:rPr>
  </w:style>
  <w:style w:type="character" w:styleId="Mencinsinresolver">
    <w:name w:val="Unresolved Mention"/>
    <w:basedOn w:val="Fuentedeprrafopredeter"/>
    <w:uiPriority w:val="99"/>
    <w:semiHidden/>
    <w:unhideWhenUsed/>
    <w:rsid w:val="00270BBF"/>
    <w:rPr>
      <w:color w:val="605E5C"/>
      <w:shd w:val="clear" w:color="auto" w:fill="E1DFDD"/>
    </w:rPr>
  </w:style>
  <w:style w:type="character" w:customStyle="1" w:styleId="Ttulo3Car">
    <w:name w:val="Título 3 Car"/>
    <w:basedOn w:val="Fuentedeprrafopredeter"/>
    <w:link w:val="Ttulo3"/>
    <w:rsid w:val="005B7150"/>
    <w:rPr>
      <w:rFonts w:ascii="Times New Roman" w:eastAsia="Times New Roman" w:hAnsi="Times New Roman" w:cs="Arial"/>
      <w:bCs/>
      <w:i/>
      <w:sz w:val="24"/>
      <w:szCs w:val="26"/>
      <w:lang w:val="en-GB" w:eastAsia="en-GB"/>
    </w:rPr>
  </w:style>
  <w:style w:type="character" w:styleId="Fuerte">
    <w:name w:val="Strong"/>
    <w:basedOn w:val="Fuentedeprrafopredeter"/>
    <w:uiPriority w:val="22"/>
    <w:qFormat/>
    <w:rsid w:val="00C76C7E"/>
    <w:rPr>
      <w:b/>
      <w:bCs/>
    </w:rPr>
  </w:style>
  <w:style w:type="paragraph" w:styleId="Encabezado">
    <w:name w:val="header"/>
    <w:basedOn w:val="Normal"/>
    <w:link w:val="EncabezadoCar"/>
    <w:uiPriority w:val="99"/>
    <w:unhideWhenUsed/>
    <w:rsid w:val="00667FA9"/>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667FA9"/>
    <w:rPr>
      <w:rFonts w:ascii="Times New Roman" w:eastAsia="Times New Roman" w:hAnsi="Times New Roman" w:cs="Times New Roman"/>
      <w:sz w:val="24"/>
      <w:szCs w:val="24"/>
      <w:lang w:val="en-GB" w:eastAsia="en-GB"/>
    </w:rPr>
  </w:style>
  <w:style w:type="paragraph" w:styleId="Piedepgina">
    <w:name w:val="footer"/>
    <w:basedOn w:val="Normal"/>
    <w:link w:val="PiedepginaCar"/>
    <w:uiPriority w:val="99"/>
    <w:unhideWhenUsed/>
    <w:rsid w:val="00667FA9"/>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667FA9"/>
    <w:rPr>
      <w:rFonts w:ascii="Times New Roman" w:eastAsia="Times New Roman" w:hAnsi="Times New Roman" w:cs="Times New Roman"/>
      <w:sz w:val="24"/>
      <w:szCs w:val="24"/>
      <w:lang w:val="en-GB" w:eastAsia="en-GB"/>
    </w:rPr>
  </w:style>
  <w:style w:type="paragraph" w:styleId="Textoindependiente">
    <w:name w:val="Body Text"/>
    <w:basedOn w:val="Normal"/>
    <w:link w:val="TextoindependienteCar"/>
    <w:uiPriority w:val="1"/>
    <w:semiHidden/>
    <w:unhideWhenUsed/>
    <w:qFormat/>
    <w:rsid w:val="003F2E8B"/>
    <w:pPr>
      <w:widowControl w:val="0"/>
      <w:autoSpaceDE w:val="0"/>
      <w:autoSpaceDN w:val="0"/>
      <w:spacing w:line="240" w:lineRule="auto"/>
    </w:pPr>
    <w:rPr>
      <w:lang w:val="en-US" w:eastAsia="en-US"/>
    </w:rPr>
  </w:style>
  <w:style w:type="character" w:customStyle="1" w:styleId="TextoindependienteCar">
    <w:name w:val="Texto independiente Car"/>
    <w:basedOn w:val="Fuentedeprrafopredeter"/>
    <w:link w:val="Textoindependiente"/>
    <w:uiPriority w:val="1"/>
    <w:semiHidden/>
    <w:rsid w:val="003F2E8B"/>
    <w:rPr>
      <w:rFonts w:ascii="Times New Roman" w:eastAsia="Times New Roman" w:hAnsi="Times New Roman" w:cs="Times New Roman"/>
      <w:sz w:val="24"/>
      <w:szCs w:val="24"/>
      <w:lang w:val="en-US"/>
    </w:rPr>
  </w:style>
  <w:style w:type="paragraph" w:styleId="Revisin">
    <w:name w:val="Revision"/>
    <w:hidden/>
    <w:uiPriority w:val="99"/>
    <w:semiHidden/>
    <w:rsid w:val="003004F9"/>
    <w:pPr>
      <w:spacing w:after="0" w:line="240" w:lineRule="auto"/>
    </w:pPr>
    <w:rPr>
      <w:rFonts w:ascii="Times New Roman" w:eastAsia="Times New Roman" w:hAnsi="Times New Roman" w:cs="Times New Roman"/>
      <w:sz w:val="24"/>
      <w:szCs w:val="24"/>
      <w:lang w:val="en-GB" w:eastAsia="en-GB"/>
    </w:rPr>
  </w:style>
  <w:style w:type="paragraph" w:styleId="Asuntodelcomentario">
    <w:name w:val="annotation subject"/>
    <w:basedOn w:val="Textocomentario"/>
    <w:next w:val="Textocomentario"/>
    <w:link w:val="AsuntodelcomentarioCar"/>
    <w:uiPriority w:val="99"/>
    <w:semiHidden/>
    <w:unhideWhenUsed/>
    <w:rsid w:val="003004F9"/>
    <w:rPr>
      <w:b/>
      <w:bCs/>
    </w:rPr>
  </w:style>
  <w:style w:type="character" w:customStyle="1" w:styleId="AsuntodelcomentarioCar">
    <w:name w:val="Asunto del comentario Car"/>
    <w:basedOn w:val="TextocomentarioCar"/>
    <w:link w:val="Asuntodelcomentario"/>
    <w:uiPriority w:val="99"/>
    <w:semiHidden/>
    <w:rsid w:val="003004F9"/>
    <w:rPr>
      <w:rFonts w:ascii="Times New Roman" w:eastAsia="Times New Roman" w:hAnsi="Times New Roman" w:cs="Times New Roman"/>
      <w:b/>
      <w:bCs/>
      <w:sz w:val="20"/>
      <w:szCs w:val="20"/>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6759470">
      <w:bodyDiv w:val="1"/>
      <w:marLeft w:val="0"/>
      <w:marRight w:val="0"/>
      <w:marTop w:val="0"/>
      <w:marBottom w:val="0"/>
      <w:divBdr>
        <w:top w:val="none" w:sz="0" w:space="0" w:color="auto"/>
        <w:left w:val="none" w:sz="0" w:space="0" w:color="auto"/>
        <w:bottom w:val="none" w:sz="0" w:space="0" w:color="auto"/>
        <w:right w:val="none" w:sz="0" w:space="0" w:color="auto"/>
      </w:divBdr>
    </w:div>
    <w:div w:id="415713458">
      <w:bodyDiv w:val="1"/>
      <w:marLeft w:val="0"/>
      <w:marRight w:val="0"/>
      <w:marTop w:val="0"/>
      <w:marBottom w:val="0"/>
      <w:divBdr>
        <w:top w:val="none" w:sz="0" w:space="0" w:color="auto"/>
        <w:left w:val="none" w:sz="0" w:space="0" w:color="auto"/>
        <w:bottom w:val="none" w:sz="0" w:space="0" w:color="auto"/>
        <w:right w:val="none" w:sz="0" w:space="0" w:color="auto"/>
      </w:divBdr>
    </w:div>
    <w:div w:id="642586038">
      <w:bodyDiv w:val="1"/>
      <w:marLeft w:val="0"/>
      <w:marRight w:val="0"/>
      <w:marTop w:val="0"/>
      <w:marBottom w:val="0"/>
      <w:divBdr>
        <w:top w:val="none" w:sz="0" w:space="0" w:color="auto"/>
        <w:left w:val="none" w:sz="0" w:space="0" w:color="auto"/>
        <w:bottom w:val="none" w:sz="0" w:space="0" w:color="auto"/>
        <w:right w:val="none" w:sz="0" w:space="0" w:color="auto"/>
      </w:divBdr>
    </w:div>
    <w:div w:id="696272065">
      <w:bodyDiv w:val="1"/>
      <w:marLeft w:val="0"/>
      <w:marRight w:val="0"/>
      <w:marTop w:val="0"/>
      <w:marBottom w:val="0"/>
      <w:divBdr>
        <w:top w:val="none" w:sz="0" w:space="0" w:color="auto"/>
        <w:left w:val="none" w:sz="0" w:space="0" w:color="auto"/>
        <w:bottom w:val="none" w:sz="0" w:space="0" w:color="auto"/>
        <w:right w:val="none" w:sz="0" w:space="0" w:color="auto"/>
      </w:divBdr>
    </w:div>
    <w:div w:id="746224381">
      <w:bodyDiv w:val="1"/>
      <w:marLeft w:val="0"/>
      <w:marRight w:val="0"/>
      <w:marTop w:val="0"/>
      <w:marBottom w:val="0"/>
      <w:divBdr>
        <w:top w:val="none" w:sz="0" w:space="0" w:color="auto"/>
        <w:left w:val="none" w:sz="0" w:space="0" w:color="auto"/>
        <w:bottom w:val="none" w:sz="0" w:space="0" w:color="auto"/>
        <w:right w:val="none" w:sz="0" w:space="0" w:color="auto"/>
      </w:divBdr>
    </w:div>
    <w:div w:id="993527158">
      <w:bodyDiv w:val="1"/>
      <w:marLeft w:val="0"/>
      <w:marRight w:val="0"/>
      <w:marTop w:val="0"/>
      <w:marBottom w:val="0"/>
      <w:divBdr>
        <w:top w:val="none" w:sz="0" w:space="0" w:color="auto"/>
        <w:left w:val="none" w:sz="0" w:space="0" w:color="auto"/>
        <w:bottom w:val="none" w:sz="0" w:space="0" w:color="auto"/>
        <w:right w:val="none" w:sz="0" w:space="0" w:color="auto"/>
      </w:divBdr>
    </w:div>
    <w:div w:id="1290352961">
      <w:bodyDiv w:val="1"/>
      <w:marLeft w:val="0"/>
      <w:marRight w:val="0"/>
      <w:marTop w:val="0"/>
      <w:marBottom w:val="0"/>
      <w:divBdr>
        <w:top w:val="none" w:sz="0" w:space="0" w:color="auto"/>
        <w:left w:val="none" w:sz="0" w:space="0" w:color="auto"/>
        <w:bottom w:val="none" w:sz="0" w:space="0" w:color="auto"/>
        <w:right w:val="none" w:sz="0" w:space="0" w:color="auto"/>
      </w:divBdr>
    </w:div>
    <w:div w:id="1715735368">
      <w:bodyDiv w:val="1"/>
      <w:marLeft w:val="0"/>
      <w:marRight w:val="0"/>
      <w:marTop w:val="0"/>
      <w:marBottom w:val="0"/>
      <w:divBdr>
        <w:top w:val="none" w:sz="0" w:space="0" w:color="auto"/>
        <w:left w:val="none" w:sz="0" w:space="0" w:color="auto"/>
        <w:bottom w:val="none" w:sz="0" w:space="0" w:color="auto"/>
        <w:right w:val="none" w:sz="0" w:space="0" w:color="auto"/>
      </w:divBdr>
    </w:div>
    <w:div w:id="1880240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medium.com/adalab/facial-recognition-system-5642f57c220a" TargetMode="External"/><Relationship Id="rId4" Type="http://schemas.openxmlformats.org/officeDocument/2006/relationships/settings" Target="settings.xml"/><Relationship Id="rId9" Type="http://schemas.openxmlformats.org/officeDocument/2006/relationships/hyperlink" Target="https://medium.com/adalab/facial-recognition-system-5642f57c220a"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F4BF58-121E-4DDC-A99D-BEF26F2B0B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7572</Words>
  <Characters>41648</Characters>
  <Application>Microsoft Office Word</Application>
  <DocSecurity>0</DocSecurity>
  <Lines>347</Lines>
  <Paragraphs>98</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49122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2021-01-05T20:22:00Z</dcterms:created>
  <dcterms:modified xsi:type="dcterms:W3CDTF">2026-02-17T15:50:00Z</dcterms:modified>
</cp:coreProperties>
</file>